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7044" w:tblpY="-20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FF05BA" w14:paraId="514AF000" w14:textId="77777777" w:rsidTr="00FF05BA">
        <w:trPr>
          <w:trHeight w:val="699"/>
        </w:trPr>
        <w:tc>
          <w:tcPr>
            <w:tcW w:w="4576" w:type="dxa"/>
          </w:tcPr>
          <w:p w14:paraId="7B784DBB" w14:textId="77777777" w:rsidR="00FF05BA" w:rsidRDefault="00FF05BA" w:rsidP="00FF05BA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+*xfs*pvs*Akl*cvA*xBj*tCi*ssq*rgE*ogi*Eii*pBk*-</w:t>
            </w:r>
            <w:r>
              <w:rPr>
                <w:rFonts w:ascii="PDF417x" w:eastAsia="Times New Roman" w:hAnsi="PDF417x" w:cs="Times New Roman"/>
              </w:rPr>
              <w:br/>
              <w:t>+*yqw*utA*FwC*nru*ugc*dwc*xDg*Dmz*njn*fsE*zew*-</w:t>
            </w:r>
            <w:r>
              <w:rPr>
                <w:rFonts w:ascii="PDF417x" w:eastAsia="Times New Roman" w:hAnsi="PDF417x" w:cs="Times New Roman"/>
              </w:rPr>
              <w:br/>
              <w:t>+*eDs*cEy*ors*lyd*lyd*Dfk*mvy*xbo*Bkr*Aye*zfE*-</w:t>
            </w:r>
            <w:r>
              <w:rPr>
                <w:rFonts w:ascii="PDF417x" w:eastAsia="Times New Roman" w:hAnsi="PDF417x" w:cs="Times New Roman"/>
              </w:rPr>
              <w:br/>
              <w:t>+*ftw*dvk*qCC*wtb*tuc*nnE*lmB*cCk*vrb*Dac*onA*-</w:t>
            </w:r>
            <w:r>
              <w:rPr>
                <w:rFonts w:ascii="PDF417x" w:eastAsia="Times New Roman" w:hAnsi="PDF417x" w:cs="Times New Roman"/>
              </w:rPr>
              <w:br/>
              <w:t>+*ftA*Ejq*srr*ykq*tlu*azn*wdc*gbt*jqj*yso*uws*-</w:t>
            </w:r>
            <w:r>
              <w:rPr>
                <w:rFonts w:ascii="PDF417x" w:eastAsia="Times New Roman" w:hAnsi="PDF417x" w:cs="Times New Roman"/>
              </w:rPr>
              <w:br/>
              <w:t>+*xjq*ntg*Cdw*gDj*Aiq*zFm*lyd*Aym*Dhw*wnu*uzq*-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A76BFE7" w14:textId="77777777" w:rsidR="005A04D3" w:rsidRDefault="005A04D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62FD8D" w14:textId="1BC61DED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250-12/26-02/04 </w:t>
      </w:r>
    </w:p>
    <w:p w14:paraId="7AA5BFA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2177-1-26-01-26-1</w:t>
      </w:r>
    </w:p>
    <w:p w14:paraId="342FD0E2" w14:textId="139ED1BB" w:rsidR="00D3474B" w:rsidRDefault="00D3474B" w:rsidP="00405D94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Požega, 17.03.2026.</w:t>
      </w:r>
    </w:p>
    <w:p w14:paraId="023E82BF" w14:textId="32CBA12F" w:rsidR="00CD57B7" w:rsidRPr="00653D57" w:rsidRDefault="00CD57B7" w:rsidP="00653D57">
      <w:pPr>
        <w:rPr>
          <w:rFonts w:ascii="Calibri" w:eastAsia="Times New Roman" w:hAnsi="Calibri" w:cs="Calibri"/>
          <w:color w:val="000000"/>
          <w:lang w:eastAsia="hr-HR"/>
        </w:rPr>
      </w:pPr>
    </w:p>
    <w:p w14:paraId="4ADE04F5" w14:textId="364D4B17" w:rsidR="00653D57" w:rsidRPr="00653D57" w:rsidRDefault="00653D57" w:rsidP="00653D57">
      <w:pPr>
        <w:ind w:firstLine="708"/>
        <w:jc w:val="both"/>
        <w:rPr>
          <w:rFonts w:eastAsiaTheme="minorEastAsia" w:cs="Calibri"/>
          <w:bCs/>
          <w:noProof w:val="0"/>
          <w:color w:val="EE000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Na temelju članka 18. Statuta Javne vatrogasne postrojbe Grada Požege URBROJ:466-08-21-1 od 18. kolovoza 2021. godine, Vatrogasno vijeće Javne vatrogasne postrojbe Grada Požege</w:t>
      </w:r>
      <w:r w:rsidRPr="00653D57">
        <w:rPr>
          <w:rFonts w:eastAsiaTheme="minorEastAsia" w:cs="Calibri"/>
          <w:bCs/>
          <w:noProof w:val="0"/>
          <w:color w:val="EE0000"/>
          <w:lang w:eastAsia="hr-HR"/>
        </w:rPr>
        <w:t xml:space="preserve"> </w:t>
      </w:r>
      <w:r w:rsidRPr="00653D57">
        <w:rPr>
          <w:rFonts w:eastAsiaTheme="minorEastAsia" w:cs="Calibri"/>
          <w:bCs/>
          <w:noProof w:val="0"/>
          <w:lang w:eastAsia="hr-HR"/>
        </w:rPr>
        <w:t>na svojoj 01. sjednici održanoj,  17. ožujka 2026. godine donosi</w:t>
      </w:r>
    </w:p>
    <w:p w14:paraId="42710897" w14:textId="77777777" w:rsidR="00653D57" w:rsidRPr="00653D57" w:rsidRDefault="00653D57" w:rsidP="00653D57">
      <w:pPr>
        <w:ind w:firstLine="708"/>
        <w:jc w:val="both"/>
        <w:rPr>
          <w:rFonts w:eastAsiaTheme="minorEastAsia" w:cs="Calibri"/>
          <w:bCs/>
          <w:noProof w:val="0"/>
          <w:lang w:eastAsia="hr-HR"/>
        </w:rPr>
      </w:pPr>
      <w:bookmarkStart w:id="0" w:name="_GoBack"/>
      <w:bookmarkEnd w:id="0"/>
    </w:p>
    <w:p w14:paraId="05635DAE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500D8100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311ABDF5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ODLUKU O RASPODJELI REZULTATA POSLOVANJA</w:t>
      </w:r>
    </w:p>
    <w:p w14:paraId="69F63B7D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JAVNE VATROGASNE POSTROJBE ZA 2025. GODINU</w:t>
      </w:r>
    </w:p>
    <w:p w14:paraId="2655224C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2B118910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Članak 1.</w:t>
      </w:r>
    </w:p>
    <w:p w14:paraId="5AC40147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2C71F229" w14:textId="77777777" w:rsidR="00653D57" w:rsidRPr="00653D57" w:rsidRDefault="00653D57" w:rsidP="00653D57">
      <w:pPr>
        <w:ind w:firstLine="720"/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Ovom Odlukom utvrđuje se rezultat poslovanja, raspodjela rezultata poslovanja i korištenje viška, koji je iskazan u financijskim izvještajima Javne vatrogasne postrojbe grada Požege na dan 31. prosinca 2025. godine u iznosu -73.647,19 €.</w:t>
      </w:r>
    </w:p>
    <w:p w14:paraId="2A63E1EB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54DEB1BD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Članak 2.</w:t>
      </w:r>
    </w:p>
    <w:p w14:paraId="7E55706E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2EC724D2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ab/>
        <w:t>Rezultat iz članka 1. ove Odluke sastoji se od:</w:t>
      </w:r>
    </w:p>
    <w:p w14:paraId="28DC65AE" w14:textId="77777777" w:rsidR="00653D57" w:rsidRPr="00653D57" w:rsidRDefault="00653D57" w:rsidP="00653D57">
      <w:pPr>
        <w:numPr>
          <w:ilvl w:val="0"/>
          <w:numId w:val="1"/>
        </w:num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viška prihoda poslovanja iz izvora 3.1. vlastiti prihodi koji iznosi 9.564,74 €</w:t>
      </w:r>
    </w:p>
    <w:p w14:paraId="2A359270" w14:textId="77777777" w:rsidR="00653D57" w:rsidRPr="00653D57" w:rsidRDefault="00653D57" w:rsidP="00653D57">
      <w:pPr>
        <w:numPr>
          <w:ilvl w:val="0"/>
          <w:numId w:val="1"/>
        </w:num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viška prihoda poslovanja iz izvora 6.1 donacije koji iznosi 1.440,00 €</w:t>
      </w:r>
    </w:p>
    <w:p w14:paraId="643F9E70" w14:textId="77777777" w:rsidR="00653D57" w:rsidRPr="00653D57" w:rsidRDefault="00653D57" w:rsidP="00653D57">
      <w:pPr>
        <w:numPr>
          <w:ilvl w:val="0"/>
          <w:numId w:val="1"/>
        </w:num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manjka prihoda poslovanja iz izvora 1.1 opći prihodi i primci koji iznosi 79.087,19 €, a odnosi se na otvorene obveze (neplaćene račune) koje terete rashode u 2025. godini i biti će podmirene u 2026. godini te na plaću za prosinac koja je evidentirana na rashodima za 2025. godinu, a isplaćena u 2026. godini</w:t>
      </w:r>
    </w:p>
    <w:p w14:paraId="77AE2106" w14:textId="77777777" w:rsidR="00653D57" w:rsidRPr="00653D57" w:rsidRDefault="00653D57" w:rsidP="00653D57">
      <w:pPr>
        <w:numPr>
          <w:ilvl w:val="0"/>
          <w:numId w:val="1"/>
        </w:num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manjka prihoda od nefinancijske imovine iz izvora 3.1. koji iznosi 5.564,74 €.</w:t>
      </w:r>
    </w:p>
    <w:p w14:paraId="6E35EA6C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256F2C32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Članak 3.</w:t>
      </w:r>
    </w:p>
    <w:p w14:paraId="34FF307D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3CF3F956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ab/>
        <w:t>Ostvareni višak prihoda poslovanja iz izvora 3.1. u iznosu 5.564,74 € pokriva manjak prihoda od nefinancijske imovine iz izvora 3.1 u iznosu 5.564,74 €.</w:t>
      </w:r>
    </w:p>
    <w:p w14:paraId="76B12E7B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ab/>
        <w:t xml:space="preserve">Preostali iznos viška prihoda poslovanja iz izvora 3.1. u iznosu 4.000,00 € i izvora 6.1. u iznosu 1.440,00 € utrošite će se na nabavu opreme. </w:t>
      </w:r>
    </w:p>
    <w:p w14:paraId="06512783" w14:textId="77777777" w:rsidR="00653D57" w:rsidRPr="00653D57" w:rsidRDefault="00653D57" w:rsidP="00653D57">
      <w:pPr>
        <w:ind w:firstLine="720"/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 xml:space="preserve">Manjak prihoda poslovanja iz izvora 1.1. opći prihodi i primci, tj. metodološki manjak će se podmiriti plaćanjem nedospjelih obveza tijekom 2026. godine.  </w:t>
      </w:r>
    </w:p>
    <w:p w14:paraId="726585C2" w14:textId="77777777" w:rsidR="00653D57" w:rsidRPr="00653D57" w:rsidRDefault="00653D57" w:rsidP="00653D57">
      <w:pPr>
        <w:rPr>
          <w:rFonts w:eastAsiaTheme="minorEastAsia" w:cs="Calibri"/>
          <w:bCs/>
          <w:noProof w:val="0"/>
          <w:lang w:eastAsia="hr-HR"/>
        </w:rPr>
      </w:pPr>
    </w:p>
    <w:p w14:paraId="3BC95405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Članak 4.</w:t>
      </w:r>
    </w:p>
    <w:p w14:paraId="35A91710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32E69316" w14:textId="77777777" w:rsidR="00653D57" w:rsidRPr="00653D57" w:rsidRDefault="00653D57" w:rsidP="00653D57">
      <w:pPr>
        <w:ind w:firstLine="720"/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Rezultat Javne vatrogasne postrojbe Grada Požege uključit će se u Izmjene i dopune Proračuna Grada Požege za 2026. godinu.</w:t>
      </w:r>
    </w:p>
    <w:p w14:paraId="52A57767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30E27E0A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7C0A1461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29BCC9C5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4A956036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5F98C2B2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Članak 5.</w:t>
      </w:r>
    </w:p>
    <w:p w14:paraId="027200A8" w14:textId="77777777" w:rsidR="00653D57" w:rsidRPr="00653D57" w:rsidRDefault="00653D57" w:rsidP="00653D57">
      <w:pPr>
        <w:jc w:val="center"/>
        <w:rPr>
          <w:rFonts w:eastAsiaTheme="minorEastAsia" w:cs="Calibri"/>
          <w:bCs/>
          <w:noProof w:val="0"/>
          <w:lang w:eastAsia="hr-HR"/>
        </w:rPr>
      </w:pPr>
    </w:p>
    <w:p w14:paraId="6A8FE646" w14:textId="77777777" w:rsidR="00653D57" w:rsidRPr="00653D57" w:rsidRDefault="00653D57" w:rsidP="00653D57">
      <w:pPr>
        <w:ind w:firstLine="720"/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>Ova Odluka stupa na snagu danom donošenja Odluke, koja će biti objavljena na oglasnoj ploči i  mrežnim stranicama.</w:t>
      </w:r>
    </w:p>
    <w:p w14:paraId="2D8202F2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6FB7BD87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  <w:r w:rsidRPr="00653D57">
        <w:rPr>
          <w:rFonts w:eastAsiaTheme="minorEastAsia" w:cs="Calibri"/>
          <w:bCs/>
          <w:noProof w:val="0"/>
          <w:lang w:eastAsia="hr-HR"/>
        </w:rPr>
        <w:t xml:space="preserve">      </w:t>
      </w:r>
    </w:p>
    <w:p w14:paraId="76EEC60C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4130AAAD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0310937B" w14:textId="77777777" w:rsidR="00653D57" w:rsidRPr="00653D57" w:rsidRDefault="00653D57" w:rsidP="00653D57">
      <w:pPr>
        <w:jc w:val="both"/>
        <w:rPr>
          <w:rFonts w:eastAsiaTheme="minorEastAsia" w:cs="Calibri"/>
          <w:bCs/>
          <w:noProof w:val="0"/>
          <w:lang w:eastAsia="hr-HR"/>
        </w:rPr>
      </w:pPr>
    </w:p>
    <w:p w14:paraId="2DF686FD" w14:textId="77777777" w:rsidR="00653D57" w:rsidRPr="00653D57" w:rsidRDefault="00653D57" w:rsidP="00653D57">
      <w:pPr>
        <w:rPr>
          <w:rFonts w:eastAsiaTheme="minorEastAsia" w:cs="Calibri"/>
          <w:noProof w:val="0"/>
          <w:sz w:val="24"/>
          <w:szCs w:val="24"/>
          <w:lang w:eastAsia="hr-HR"/>
        </w:rPr>
      </w:pPr>
      <w:r w:rsidRPr="00653D57">
        <w:rPr>
          <w:rFonts w:eastAsiaTheme="minorEastAsia" w:cs="Calibri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Predsjednik Vatrogasnog vijeća </w:t>
      </w:r>
    </w:p>
    <w:p w14:paraId="65A55F51" w14:textId="77777777" w:rsidR="00653D57" w:rsidRPr="00653D57" w:rsidRDefault="00653D57" w:rsidP="00653D57">
      <w:pPr>
        <w:rPr>
          <w:rFonts w:eastAsiaTheme="minorEastAsia" w:cs="Calibri"/>
          <w:noProof w:val="0"/>
          <w:sz w:val="24"/>
          <w:szCs w:val="24"/>
          <w:lang w:eastAsia="hr-HR"/>
        </w:rPr>
      </w:pPr>
      <w:r w:rsidRPr="00653D57">
        <w:rPr>
          <w:rFonts w:eastAsiaTheme="minorEastAsia" w:cs="Calibri"/>
          <w:noProof w:val="0"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653D57">
        <w:rPr>
          <w:rFonts w:eastAsiaTheme="minorEastAsia" w:cs="Calibri"/>
          <w:noProof w:val="0"/>
          <w:sz w:val="24"/>
          <w:szCs w:val="24"/>
          <w:lang w:eastAsia="hr-HR"/>
        </w:rPr>
        <w:tab/>
        <w:t xml:space="preserve">                        JVP-a Grada Požege</w:t>
      </w:r>
    </w:p>
    <w:p w14:paraId="14469B3E" w14:textId="77777777" w:rsidR="00653D57" w:rsidRPr="00653D57" w:rsidRDefault="00653D57" w:rsidP="00653D57">
      <w:pPr>
        <w:rPr>
          <w:rFonts w:eastAsiaTheme="minorEastAsia" w:cs="Calibri"/>
          <w:bCs/>
          <w:noProof w:val="0"/>
          <w:sz w:val="24"/>
          <w:szCs w:val="24"/>
          <w:lang w:eastAsia="hr-HR"/>
        </w:rPr>
      </w:pP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</w:r>
      <w:r w:rsidRPr="00653D57">
        <w:rPr>
          <w:rFonts w:eastAsiaTheme="minorEastAsia" w:cs="Calibri"/>
          <w:b/>
          <w:noProof w:val="0"/>
          <w:sz w:val="24"/>
          <w:szCs w:val="24"/>
          <w:lang w:eastAsia="hr-HR"/>
        </w:rPr>
        <w:tab/>
        <w:t xml:space="preserve">         </w:t>
      </w:r>
      <w:r w:rsidRPr="00653D57">
        <w:rPr>
          <w:rFonts w:eastAsiaTheme="minorEastAsia" w:cs="Calibri"/>
          <w:bCs/>
          <w:noProof w:val="0"/>
          <w:sz w:val="24"/>
          <w:szCs w:val="24"/>
          <w:lang w:eastAsia="hr-HR"/>
        </w:rPr>
        <w:t xml:space="preserve">             Josip Pavković mag. iur.  </w:t>
      </w:r>
    </w:p>
    <w:p w14:paraId="73BE53D1" w14:textId="77777777" w:rsidR="00653D57" w:rsidRPr="00653D57" w:rsidRDefault="00653D57" w:rsidP="00653D57">
      <w:pPr>
        <w:ind w:left="6237"/>
        <w:jc w:val="center"/>
        <w:rPr>
          <w:rFonts w:eastAsia="Times New Roman" w:cs="Times New Roman"/>
        </w:rPr>
      </w:pPr>
    </w:p>
    <w:p w14:paraId="67A25EE7" w14:textId="77777777" w:rsidR="00653D57" w:rsidRPr="00653D57" w:rsidRDefault="00653D57" w:rsidP="00653D57">
      <w:pPr>
        <w:ind w:firstLine="708"/>
        <w:jc w:val="both"/>
        <w:rPr>
          <w:rFonts w:eastAsia="Times New Roman" w:cs="Times New Roman"/>
        </w:rPr>
      </w:pPr>
    </w:p>
    <w:p w14:paraId="0EA0AD31" w14:textId="4BD1CE23" w:rsidR="00CD57B7" w:rsidRDefault="00CD57B7" w:rsidP="00653D57">
      <w:pPr>
        <w:spacing w:after="240"/>
      </w:pPr>
    </w:p>
    <w:sectPr w:rsidR="00CD57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CF560" w14:textId="77777777" w:rsidR="005D7461" w:rsidRDefault="005D7461" w:rsidP="005D7461">
      <w:r>
        <w:separator/>
      </w:r>
    </w:p>
  </w:endnote>
  <w:endnote w:type="continuationSeparator" w:id="0">
    <w:p w14:paraId="31DCB061" w14:textId="77777777" w:rsidR="005D7461" w:rsidRDefault="005D7461" w:rsidP="005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5606" w14:textId="77777777" w:rsidR="005D7461" w:rsidRDefault="005D7461" w:rsidP="005D7461">
      <w:r>
        <w:separator/>
      </w:r>
    </w:p>
  </w:footnote>
  <w:footnote w:type="continuationSeparator" w:id="0">
    <w:p w14:paraId="6C3BB77F" w14:textId="77777777" w:rsidR="005D7461" w:rsidRDefault="005D7461" w:rsidP="005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D8585" w14:textId="77777777" w:rsidR="00FF05BA" w:rsidRDefault="00FF05BA">
    <w:pPr>
      <w:pStyle w:val="Header"/>
    </w:pPr>
  </w:p>
  <w:p w14:paraId="0F8B9041" w14:textId="77777777" w:rsidR="00FF05BA" w:rsidRDefault="00FF05BA">
    <w:pPr>
      <w:pStyle w:val="Header"/>
    </w:pPr>
  </w:p>
  <w:p w14:paraId="226A8867" w14:textId="6C08254B" w:rsidR="005D7461" w:rsidRDefault="005D7461">
    <w:pPr>
      <w:pStyle w:val="Header"/>
    </w:pPr>
    <w:r>
      <w:rPr>
        <w:lang w:eastAsia="hr-HR"/>
      </w:rPr>
      <w:drawing>
        <wp:inline distT="0" distB="0" distL="0" distR="0" wp14:anchorId="4CD300CC" wp14:editId="2FF4EBFA">
          <wp:extent cx="3436034" cy="1102312"/>
          <wp:effectExtent l="0" t="0" r="0" b="3175"/>
          <wp:docPr id="780423126" name="Slika 1" descr="Slika na kojoj se prikazuje tekst, logotip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126" name="Slika 1" descr="Slika na kojoj se prikazuje tekst, logotip, emblem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709" cy="113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6DEE"/>
    <w:multiLevelType w:val="hybridMultilevel"/>
    <w:tmpl w:val="FFFFFFFF"/>
    <w:lvl w:ilvl="0" w:tplc="53BE0E9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B7"/>
    <w:rsid w:val="00343B88"/>
    <w:rsid w:val="00405D94"/>
    <w:rsid w:val="005A04D3"/>
    <w:rsid w:val="005D7461"/>
    <w:rsid w:val="00653D57"/>
    <w:rsid w:val="00803D0A"/>
    <w:rsid w:val="00964604"/>
    <w:rsid w:val="00B32B4D"/>
    <w:rsid w:val="00CD57B7"/>
    <w:rsid w:val="00D3474B"/>
    <w:rsid w:val="00DC34C3"/>
    <w:rsid w:val="00FA0BA9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F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6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46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651C5D4-ED6D-46A3-8771-4EF0A9776C5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Javna vatrogasna postrojba</cp:lastModifiedBy>
  <cp:revision>2</cp:revision>
  <cp:lastPrinted>2014-11-26T14:09:00Z</cp:lastPrinted>
  <dcterms:created xsi:type="dcterms:W3CDTF">2026-03-17T09:15:00Z</dcterms:created>
  <dcterms:modified xsi:type="dcterms:W3CDTF">2026-03-17T09:15:00Z</dcterms:modified>
</cp:coreProperties>
</file>