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BFE7" w14:textId="0947FE04" w:rsidR="005A04D3" w:rsidRDefault="00FF11B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21C2CBA3" w14:textId="77777777" w:rsidR="00952000" w:rsidRDefault="00952000" w:rsidP="00921377">
      <w:pPr>
        <w:jc w:val="both"/>
        <w:rPr>
          <w:rFonts w:ascii="Calibri" w:eastAsia="Times New Roman" w:hAnsi="Calibri" w:cs="Calibri"/>
          <w:noProof w:val="0"/>
          <w:color w:val="EE0000"/>
          <w:lang w:eastAsia="hr-HR"/>
        </w:rPr>
      </w:pPr>
    </w:p>
    <w:p w14:paraId="31DC39DA" w14:textId="77777777" w:rsidR="00671B73" w:rsidRDefault="00671B73" w:rsidP="00921377">
      <w:pPr>
        <w:jc w:val="both"/>
        <w:rPr>
          <w:rFonts w:ascii="Calibri" w:eastAsia="Times New Roman" w:hAnsi="Calibri" w:cs="Calibri"/>
          <w:noProof w:val="0"/>
          <w:color w:val="EE0000"/>
          <w:lang w:eastAsia="hr-HR"/>
        </w:rPr>
      </w:pPr>
    </w:p>
    <w:p w14:paraId="7E02EC12" w14:textId="77777777" w:rsidR="00671B73" w:rsidRDefault="00671B73" w:rsidP="00921377">
      <w:pPr>
        <w:jc w:val="both"/>
        <w:rPr>
          <w:rFonts w:ascii="Calibri" w:eastAsia="Times New Roman" w:hAnsi="Calibri" w:cs="Calibri"/>
          <w:noProof w:val="0"/>
          <w:color w:val="EE0000"/>
          <w:lang w:eastAsia="hr-HR"/>
        </w:rPr>
      </w:pPr>
    </w:p>
    <w:p w14:paraId="6E43BE0D" w14:textId="77777777" w:rsidR="00671B73" w:rsidRDefault="00671B73" w:rsidP="00921377">
      <w:pPr>
        <w:jc w:val="both"/>
        <w:rPr>
          <w:rFonts w:ascii="Calibri" w:eastAsia="Times New Roman" w:hAnsi="Calibri" w:cs="Calibri"/>
          <w:noProof w:val="0"/>
          <w:color w:val="EE0000"/>
          <w:lang w:eastAsia="hr-HR"/>
        </w:rPr>
      </w:pPr>
    </w:p>
    <w:p w14:paraId="7C65B76E" w14:textId="77777777" w:rsidR="00671B73" w:rsidRDefault="00671B73" w:rsidP="0092137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D214B6D" w14:textId="4674D9E2" w:rsidR="00504060" w:rsidRPr="00A16B37" w:rsidRDefault="00504060" w:rsidP="00CD579A">
      <w:pPr>
        <w:autoSpaceDE w:val="0"/>
        <w:autoSpaceDN w:val="0"/>
        <w:adjustRightInd w:val="0"/>
        <w:ind w:firstLine="708"/>
        <w:jc w:val="both"/>
        <w:rPr>
          <w:rFonts w:cs="TimesNewRomanPSMT"/>
        </w:rPr>
      </w:pPr>
      <w:r w:rsidRPr="00504060">
        <w:rPr>
          <w:rFonts w:cs="TimesNewRomanPSMT"/>
        </w:rPr>
        <w:t>Na temelju članka 36. stavka 1. Zakona o ustanovama (</w:t>
      </w:r>
      <w:r w:rsidR="00D45E31" w:rsidRPr="00D45E31">
        <w:rPr>
          <w:rFonts w:cs="TimesNewRomanPSMT"/>
        </w:rPr>
        <w:t>NN 76/93, 29/97, 47/99, 35/08, 127/19, 151/22</w:t>
      </w:r>
      <w:r w:rsidRPr="00504060">
        <w:rPr>
          <w:rFonts w:cs="TimesNewRomanPSMT"/>
        </w:rPr>
        <w:t>),</w:t>
      </w:r>
      <w:r w:rsidRPr="00504060">
        <w:t xml:space="preserve"> članka 86. Zakona o proračunu (</w:t>
      </w:r>
      <w:r w:rsidR="00D45E31" w:rsidRPr="00D45E31">
        <w:t>NN 144/21</w:t>
      </w:r>
      <w:r w:rsidRPr="00504060">
        <w:t xml:space="preserve">), </w:t>
      </w:r>
      <w:r w:rsidRPr="00504060">
        <w:rPr>
          <w:rFonts w:cs="TimesNewRomanPSMT"/>
        </w:rPr>
        <w:t>odredbi Pravilnika o polugodišnjem i godišnjem izvještaju o izvršenju proračuna (N</w:t>
      </w:r>
      <w:r w:rsidR="00D45E31">
        <w:rPr>
          <w:rFonts w:cs="TimesNewRomanPSMT"/>
        </w:rPr>
        <w:t>N</w:t>
      </w:r>
      <w:r w:rsidRPr="00504060">
        <w:rPr>
          <w:rFonts w:cs="TimesNewRomanPSMT"/>
        </w:rPr>
        <w:t xml:space="preserve"> </w:t>
      </w:r>
      <w:r w:rsidR="00D45E31" w:rsidRPr="00D45E31">
        <w:rPr>
          <w:rFonts w:cs="TimesNewRomanPSMT"/>
        </w:rPr>
        <w:t>85/2</w:t>
      </w:r>
      <w:r w:rsidR="00D45E31">
        <w:rPr>
          <w:rFonts w:cs="TimesNewRomanPSMT"/>
        </w:rPr>
        <w:t>3</w:t>
      </w:r>
      <w:r w:rsidRPr="00504060">
        <w:rPr>
          <w:rFonts w:cs="TimesNewRomanPSMT"/>
        </w:rPr>
        <w:t>) i članka 18. Statuta</w:t>
      </w:r>
      <w:r w:rsidRPr="00504060">
        <w:t xml:space="preserve"> Javne vatrogasne postrojbe Grada Požege URBROJ: 466-08-21-1 od 18 kolovoza 2021. godine, Vatrogasno vijeće Javne vatrogasne postrojbe Grada Požege na </w:t>
      </w:r>
      <w:r w:rsidR="00671B73">
        <w:rPr>
          <w:color w:val="EE0000"/>
        </w:rPr>
        <w:t xml:space="preserve"> </w:t>
      </w:r>
      <w:r w:rsidR="00A16B37" w:rsidRPr="00A16B37">
        <w:t>01. sjednici</w:t>
      </w:r>
      <w:r w:rsidR="00AE3EB6">
        <w:t>,</w:t>
      </w:r>
      <w:r w:rsidR="00A16B37" w:rsidRPr="00A16B37">
        <w:t xml:space="preserve"> 17. ožujka 2026. donosi</w:t>
      </w:r>
      <w:r w:rsidRPr="00A16B37">
        <w:t xml:space="preserve"> </w:t>
      </w:r>
      <w:r w:rsidR="00A16B37" w:rsidRPr="00A16B37">
        <w:t>,</w:t>
      </w:r>
    </w:p>
    <w:p w14:paraId="51573A36" w14:textId="77777777" w:rsidR="00504060" w:rsidRPr="00504060" w:rsidRDefault="00504060" w:rsidP="00504060">
      <w:pPr>
        <w:rPr>
          <w:b/>
        </w:rPr>
      </w:pPr>
    </w:p>
    <w:p w14:paraId="1A610A81" w14:textId="77777777" w:rsidR="00504060" w:rsidRPr="00504060" w:rsidRDefault="00504060" w:rsidP="00504060">
      <w:pPr>
        <w:pStyle w:val="Bezproreda"/>
        <w:jc w:val="center"/>
      </w:pPr>
    </w:p>
    <w:p w14:paraId="17DCA506" w14:textId="6D7101E6" w:rsidR="00504060" w:rsidRPr="00504060" w:rsidRDefault="00504060" w:rsidP="00BA3E30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504060">
        <w:rPr>
          <w:rFonts w:cs="TimesNewRomanPS-BoldMT"/>
          <w:b/>
          <w:bCs/>
        </w:rPr>
        <w:t>GODIŠNJI IZVJEŠTAJ</w:t>
      </w:r>
    </w:p>
    <w:p w14:paraId="06B38677" w14:textId="2362D489" w:rsidR="00504060" w:rsidRPr="00504060" w:rsidRDefault="00504060" w:rsidP="00BA3E30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504060">
        <w:rPr>
          <w:rFonts w:cs="TimesNewRomanPS-BoldMT"/>
          <w:b/>
          <w:bCs/>
        </w:rPr>
        <w:t>O IZVRŠENJU FINANCIJSKOG PLANA JAVNE VATROGASNE POSTROJBE</w:t>
      </w:r>
    </w:p>
    <w:p w14:paraId="303A27F2" w14:textId="73FA44F7" w:rsidR="00504060" w:rsidRPr="00504060" w:rsidRDefault="00504060" w:rsidP="00BA3E30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504060">
        <w:rPr>
          <w:rFonts w:cs="TimesNewRomanPS-BoldMT"/>
          <w:b/>
          <w:bCs/>
        </w:rPr>
        <w:t>GRADA POŽEGE  ZA 202</w:t>
      </w:r>
      <w:r w:rsidR="00D45E31">
        <w:rPr>
          <w:rFonts w:cs="TimesNewRomanPS-BoldMT"/>
          <w:b/>
          <w:bCs/>
        </w:rPr>
        <w:t>5</w:t>
      </w:r>
      <w:r w:rsidRPr="00504060">
        <w:rPr>
          <w:rFonts w:cs="TimesNewRomanPS-BoldMT"/>
          <w:b/>
          <w:bCs/>
        </w:rPr>
        <w:t>. GODINU</w:t>
      </w:r>
    </w:p>
    <w:p w14:paraId="421B48E7" w14:textId="77777777" w:rsidR="00504060" w:rsidRPr="00504060" w:rsidRDefault="00504060" w:rsidP="00504060">
      <w:pPr>
        <w:pStyle w:val="Bezproreda"/>
      </w:pPr>
    </w:p>
    <w:p w14:paraId="30C20A01" w14:textId="77777777" w:rsidR="00504060" w:rsidRDefault="00504060" w:rsidP="00504060">
      <w:pPr>
        <w:pStyle w:val="Bezproreda"/>
      </w:pPr>
    </w:p>
    <w:p w14:paraId="76845489" w14:textId="77777777" w:rsidR="00D45E31" w:rsidRPr="00504060" w:rsidRDefault="00D45E31" w:rsidP="00504060">
      <w:pPr>
        <w:pStyle w:val="Bezproreda"/>
      </w:pPr>
    </w:p>
    <w:p w14:paraId="1F069192" w14:textId="77777777" w:rsidR="00504060" w:rsidRPr="00504060" w:rsidRDefault="00504060" w:rsidP="00504060">
      <w:pPr>
        <w:pStyle w:val="Bezproreda"/>
      </w:pPr>
    </w:p>
    <w:p w14:paraId="5A0B5346" w14:textId="77777777" w:rsidR="00504060" w:rsidRPr="00504060" w:rsidRDefault="00504060" w:rsidP="00504060">
      <w:pPr>
        <w:pStyle w:val="Bezproreda"/>
      </w:pPr>
    </w:p>
    <w:p w14:paraId="7F8677F9" w14:textId="77777777" w:rsidR="00504060" w:rsidRPr="00504060" w:rsidRDefault="00504060" w:rsidP="00504060">
      <w:pPr>
        <w:pStyle w:val="Bezproreda"/>
        <w:numPr>
          <w:ilvl w:val="0"/>
          <w:numId w:val="1"/>
        </w:numPr>
      </w:pPr>
      <w:r w:rsidRPr="00504060">
        <w:t>UVODNE ODREDBE</w:t>
      </w:r>
    </w:p>
    <w:p w14:paraId="64B5799A" w14:textId="77777777" w:rsidR="00504060" w:rsidRPr="00504060" w:rsidRDefault="00504060" w:rsidP="00504060">
      <w:pPr>
        <w:pStyle w:val="Bezproreda"/>
        <w:ind w:left="360"/>
      </w:pPr>
    </w:p>
    <w:p w14:paraId="2106E363" w14:textId="77777777" w:rsidR="00504060" w:rsidRPr="00504060" w:rsidRDefault="00504060" w:rsidP="00504060">
      <w:pPr>
        <w:pStyle w:val="Bezproreda"/>
        <w:ind w:left="360"/>
      </w:pPr>
    </w:p>
    <w:p w14:paraId="204E09A9" w14:textId="77777777" w:rsidR="00504060" w:rsidRPr="00504060" w:rsidRDefault="00504060" w:rsidP="00504060">
      <w:pPr>
        <w:pStyle w:val="Bezproreda"/>
        <w:ind w:left="360"/>
        <w:jc w:val="center"/>
      </w:pPr>
      <w:r w:rsidRPr="00504060">
        <w:t>Članak 1.</w:t>
      </w:r>
    </w:p>
    <w:p w14:paraId="6CD550D0" w14:textId="77777777" w:rsidR="00504060" w:rsidRPr="00504060" w:rsidRDefault="00504060" w:rsidP="00504060">
      <w:pPr>
        <w:pStyle w:val="Bezproreda"/>
        <w:ind w:left="360"/>
        <w:jc w:val="center"/>
      </w:pPr>
    </w:p>
    <w:p w14:paraId="4E8A3326" w14:textId="779A5E2F" w:rsidR="00504060" w:rsidRPr="00504060" w:rsidRDefault="00504060" w:rsidP="00504060">
      <w:pPr>
        <w:pStyle w:val="Bezproreda"/>
        <w:ind w:left="360"/>
      </w:pPr>
      <w:r w:rsidRPr="00504060">
        <w:tab/>
        <w:t>Godišnji izvještaj o izvršenju proračuna Javne vatrogasne postrojbe Grada Požege za 202</w:t>
      </w:r>
      <w:r w:rsidR="00B5287C">
        <w:t>5</w:t>
      </w:r>
      <w:r w:rsidRPr="00504060">
        <w:t>. godinu sadrži:</w:t>
      </w:r>
    </w:p>
    <w:p w14:paraId="26D90EC0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opći dio financijskog plana koji čini Račun prihoda i rashoda i Račun financiranja  (prilog tablice),</w:t>
      </w:r>
    </w:p>
    <w:p w14:paraId="70179C56" w14:textId="77777777" w:rsidR="00504060" w:rsidRPr="00504060" w:rsidRDefault="00504060" w:rsidP="00504060">
      <w:pPr>
        <w:numPr>
          <w:ilvl w:val="0"/>
          <w:numId w:val="2"/>
        </w:numPr>
        <w:suppressAutoHyphens/>
        <w:jc w:val="both"/>
      </w:pPr>
      <w:r w:rsidRPr="00504060">
        <w:t>obrazloženje ostvarenja prihoda i primitaka, rashoda i izdataka na razini ekonomske klasifikacije, prema izvorima financiranja, prema funkcijskoj klasifikaciji (prilog tablice),</w:t>
      </w:r>
    </w:p>
    <w:p w14:paraId="54D57F1C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posebni dio financijskog plana po programskoj klasifikaciji (prilog tablice),</w:t>
      </w:r>
    </w:p>
    <w:p w14:paraId="1D7A365B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izvještaj o zaduživanju na domaćem i stranom tržištu novaca i kapitala</w:t>
      </w:r>
    </w:p>
    <w:p w14:paraId="74840B16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izvještaj o korištenju fondova Europske Unije</w:t>
      </w:r>
    </w:p>
    <w:p w14:paraId="08AA3685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izvještaj o danim zajmovima i potraživanjima po danim zajmovima</w:t>
      </w:r>
    </w:p>
    <w:p w14:paraId="04FA329C" w14:textId="77777777" w:rsidR="00504060" w:rsidRPr="00504060" w:rsidRDefault="00504060" w:rsidP="00504060">
      <w:pPr>
        <w:pStyle w:val="Bezproreda"/>
        <w:numPr>
          <w:ilvl w:val="0"/>
          <w:numId w:val="2"/>
        </w:numPr>
      </w:pPr>
      <w:r w:rsidRPr="00504060">
        <w:t>izvještaj o stanju potraživanja i dospjelih obveze te o stanju potencijalnih obveza po osnovi sudskih sporova</w:t>
      </w:r>
    </w:p>
    <w:p w14:paraId="0D74372F" w14:textId="77777777" w:rsidR="00504060" w:rsidRPr="00504060" w:rsidRDefault="00504060" w:rsidP="00504060">
      <w:pPr>
        <w:pStyle w:val="Bezproreda"/>
      </w:pPr>
    </w:p>
    <w:p w14:paraId="3E75B581" w14:textId="77777777" w:rsidR="00504060" w:rsidRPr="00504060" w:rsidRDefault="00504060" w:rsidP="00504060">
      <w:pPr>
        <w:pStyle w:val="Bezproreda"/>
      </w:pPr>
    </w:p>
    <w:p w14:paraId="44C0EEE1" w14:textId="77777777" w:rsidR="00504060" w:rsidRPr="00504060" w:rsidRDefault="00504060" w:rsidP="00504060">
      <w:pPr>
        <w:pStyle w:val="Bezproreda"/>
      </w:pPr>
    </w:p>
    <w:p w14:paraId="3898FF7C" w14:textId="77777777" w:rsidR="00504060" w:rsidRPr="00504060" w:rsidRDefault="00504060" w:rsidP="00504060">
      <w:pPr>
        <w:pStyle w:val="Bezproreda"/>
      </w:pPr>
    </w:p>
    <w:p w14:paraId="608E1867" w14:textId="77777777" w:rsidR="00504060" w:rsidRPr="00504060" w:rsidRDefault="00504060" w:rsidP="00504060">
      <w:pPr>
        <w:pStyle w:val="Bezproreda"/>
      </w:pPr>
    </w:p>
    <w:p w14:paraId="464B17E3" w14:textId="77777777" w:rsidR="00504060" w:rsidRPr="00504060" w:rsidRDefault="00504060" w:rsidP="00504060">
      <w:pPr>
        <w:pStyle w:val="Bezproreda"/>
      </w:pPr>
    </w:p>
    <w:p w14:paraId="49E02B97" w14:textId="77777777" w:rsidR="00504060" w:rsidRPr="00504060" w:rsidRDefault="00504060" w:rsidP="00504060">
      <w:pPr>
        <w:pStyle w:val="Bezproreda"/>
      </w:pPr>
    </w:p>
    <w:p w14:paraId="37F52EAD" w14:textId="77777777" w:rsidR="00504060" w:rsidRDefault="00504060" w:rsidP="00504060">
      <w:pPr>
        <w:pStyle w:val="Bezproreda"/>
      </w:pPr>
    </w:p>
    <w:p w14:paraId="75F18918" w14:textId="77777777" w:rsidR="00F779BA" w:rsidRPr="00504060" w:rsidRDefault="00F779BA" w:rsidP="00504060">
      <w:pPr>
        <w:pStyle w:val="Bezproreda"/>
      </w:pPr>
    </w:p>
    <w:p w14:paraId="540C6F20" w14:textId="77777777" w:rsidR="00504060" w:rsidRPr="00504060" w:rsidRDefault="00504060" w:rsidP="00504060">
      <w:pPr>
        <w:pStyle w:val="Bezproreda"/>
      </w:pPr>
    </w:p>
    <w:p w14:paraId="7C0FF504" w14:textId="77777777" w:rsidR="00504060" w:rsidRPr="004471F9" w:rsidRDefault="00504060" w:rsidP="00504060">
      <w:pPr>
        <w:pStyle w:val="Bezproreda"/>
        <w:numPr>
          <w:ilvl w:val="0"/>
          <w:numId w:val="1"/>
        </w:numPr>
      </w:pPr>
      <w:r w:rsidRPr="004471F9">
        <w:t>OPĆI DIO</w:t>
      </w:r>
    </w:p>
    <w:p w14:paraId="0B3784DB" w14:textId="77777777" w:rsidR="00504060" w:rsidRPr="00504060" w:rsidRDefault="00504060" w:rsidP="00504060">
      <w:pPr>
        <w:pStyle w:val="Bezproreda"/>
        <w:ind w:left="360"/>
      </w:pPr>
    </w:p>
    <w:p w14:paraId="6BF07656" w14:textId="77777777" w:rsidR="00504060" w:rsidRPr="00504060" w:rsidRDefault="00504060" w:rsidP="00504060">
      <w:pPr>
        <w:pStyle w:val="Bezproreda"/>
        <w:ind w:left="360"/>
      </w:pPr>
    </w:p>
    <w:p w14:paraId="02F8A49A" w14:textId="77777777" w:rsidR="00504060" w:rsidRPr="00504060" w:rsidRDefault="00504060" w:rsidP="00504060">
      <w:pPr>
        <w:pStyle w:val="Bezproreda"/>
        <w:ind w:left="360"/>
        <w:jc w:val="center"/>
      </w:pPr>
      <w:r w:rsidRPr="00504060">
        <w:t>Članak 2.</w:t>
      </w:r>
    </w:p>
    <w:p w14:paraId="17CF5607" w14:textId="77777777" w:rsidR="00504060" w:rsidRPr="00504060" w:rsidRDefault="00504060" w:rsidP="00504060">
      <w:pPr>
        <w:pStyle w:val="Bezproreda"/>
        <w:ind w:left="360"/>
        <w:jc w:val="center"/>
      </w:pPr>
    </w:p>
    <w:p w14:paraId="08241939" w14:textId="767142CD" w:rsidR="00504060" w:rsidRPr="00504060" w:rsidRDefault="00504060" w:rsidP="00504060">
      <w:pPr>
        <w:pStyle w:val="Bezproreda"/>
      </w:pPr>
      <w:r w:rsidRPr="00504060">
        <w:tab/>
        <w:t>Opći dio godišnjeg izvještaja o izvršenju Proračuna Javne vatrogasne postrojbe  Grada Požege za 202</w:t>
      </w:r>
      <w:r w:rsidR="00BA3EE1">
        <w:t>5</w:t>
      </w:r>
      <w:r w:rsidRPr="00504060">
        <w:t>. godinu (daljnjem tekstu: Godišnji izvještaj o izvršenju Financijskog plana) sadrži:</w:t>
      </w:r>
    </w:p>
    <w:p w14:paraId="6BE85F8B" w14:textId="77777777" w:rsidR="00504060" w:rsidRPr="00504060" w:rsidRDefault="00504060" w:rsidP="00504060">
      <w:pPr>
        <w:pStyle w:val="Bezproreda"/>
      </w:pPr>
    </w:p>
    <w:p w14:paraId="4CA64E68" w14:textId="77777777" w:rsidR="00504060" w:rsidRPr="00504060" w:rsidRDefault="00504060" w:rsidP="00504060">
      <w:pPr>
        <w:autoSpaceDE w:val="0"/>
        <w:autoSpaceDN w:val="0"/>
        <w:adjustRightInd w:val="0"/>
        <w:ind w:firstLine="708"/>
        <w:rPr>
          <w:color w:val="000000"/>
        </w:rPr>
      </w:pPr>
      <w:r w:rsidRPr="00504060">
        <w:rPr>
          <w:color w:val="000000"/>
        </w:rPr>
        <w:t>RAČUN PRIHODA I RASHODA</w:t>
      </w:r>
    </w:p>
    <w:p w14:paraId="231ACFD0" w14:textId="6C2F305B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PRIHODI POSLOVANJA                                                                                   </w:t>
      </w:r>
      <w:r w:rsidR="00BA3EE1">
        <w:rPr>
          <w:color w:val="000000"/>
        </w:rPr>
        <w:t xml:space="preserve">    </w:t>
      </w:r>
      <w:r w:rsidRPr="00504060">
        <w:rPr>
          <w:color w:val="000000"/>
        </w:rPr>
        <w:t xml:space="preserve"> </w:t>
      </w:r>
      <w:r w:rsidR="00BA3EE1">
        <w:rPr>
          <w:color w:val="000000"/>
        </w:rPr>
        <w:t>944</w:t>
      </w:r>
      <w:r w:rsidRPr="00504060">
        <w:rPr>
          <w:color w:val="000000"/>
        </w:rPr>
        <w:t>.</w:t>
      </w:r>
      <w:r w:rsidR="00BA3EE1">
        <w:rPr>
          <w:color w:val="000000"/>
        </w:rPr>
        <w:t>903</w:t>
      </w:r>
      <w:r w:rsidRPr="00504060">
        <w:rPr>
          <w:color w:val="000000"/>
        </w:rPr>
        <w:t>,</w:t>
      </w:r>
      <w:r w:rsidR="00BA3EE1">
        <w:rPr>
          <w:color w:val="000000"/>
        </w:rPr>
        <w:t>00</w:t>
      </w:r>
      <w:r w:rsidRPr="00504060">
        <w:rPr>
          <w:color w:val="000000"/>
        </w:rPr>
        <w:t xml:space="preserve"> </w:t>
      </w:r>
      <w:r w:rsidR="00BA3EE1">
        <w:rPr>
          <w:rFonts w:cstheme="minorHAnsi"/>
          <w:color w:val="000000"/>
        </w:rPr>
        <w:t>€</w:t>
      </w:r>
    </w:p>
    <w:p w14:paraId="56A324D8" w14:textId="0A68089C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PRIHODI OD PRODAJE NEFINANCIJSKE IMOVINE                                              </w:t>
      </w:r>
      <w:r>
        <w:rPr>
          <w:color w:val="000000"/>
        </w:rPr>
        <w:t xml:space="preserve">     </w:t>
      </w:r>
      <w:r w:rsidR="00BA3EE1">
        <w:rPr>
          <w:color w:val="000000"/>
        </w:rPr>
        <w:t xml:space="preserve">    </w:t>
      </w:r>
      <w:r w:rsidRPr="00504060">
        <w:rPr>
          <w:color w:val="000000"/>
        </w:rPr>
        <w:t xml:space="preserve">0,00 </w:t>
      </w:r>
      <w:r w:rsidR="00BA3EE1">
        <w:rPr>
          <w:rFonts w:cstheme="minorHAnsi"/>
          <w:color w:val="000000"/>
        </w:rPr>
        <w:t>€</w:t>
      </w:r>
    </w:p>
    <w:p w14:paraId="4BC95AD8" w14:textId="32552711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Ukupni prihodi                                                                      </w:t>
      </w:r>
      <w:r>
        <w:rPr>
          <w:color w:val="000000"/>
        </w:rPr>
        <w:t xml:space="preserve">                            </w:t>
      </w:r>
      <w:r w:rsidR="00BA3EE1">
        <w:rPr>
          <w:color w:val="000000"/>
        </w:rPr>
        <w:t xml:space="preserve">    944</w:t>
      </w:r>
      <w:r w:rsidRPr="00504060">
        <w:rPr>
          <w:color w:val="000000"/>
        </w:rPr>
        <w:t>.</w:t>
      </w:r>
      <w:r w:rsidR="00BA3EE1">
        <w:rPr>
          <w:color w:val="000000"/>
        </w:rPr>
        <w:t>903</w:t>
      </w:r>
      <w:r w:rsidRPr="00504060">
        <w:rPr>
          <w:color w:val="000000"/>
        </w:rPr>
        <w:t>,</w:t>
      </w:r>
      <w:r w:rsidR="00BA3EE1">
        <w:rPr>
          <w:color w:val="000000"/>
        </w:rPr>
        <w:t>00</w:t>
      </w:r>
      <w:r w:rsidRPr="00504060">
        <w:rPr>
          <w:color w:val="000000"/>
        </w:rPr>
        <w:t xml:space="preserve"> </w:t>
      </w:r>
      <w:r w:rsidR="00BA3EE1">
        <w:rPr>
          <w:rFonts w:cstheme="minorHAnsi"/>
          <w:color w:val="000000"/>
        </w:rPr>
        <w:t>€</w:t>
      </w:r>
    </w:p>
    <w:p w14:paraId="06AEEB49" w14:textId="0E6EEAC4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RASHODI POSLOVANJA                                                                                  </w:t>
      </w:r>
      <w:r>
        <w:rPr>
          <w:color w:val="000000"/>
        </w:rPr>
        <w:t xml:space="preserve"> </w:t>
      </w:r>
      <w:r w:rsidR="00BA3EE1">
        <w:rPr>
          <w:color w:val="000000"/>
        </w:rPr>
        <w:t xml:space="preserve"> 1.018</w:t>
      </w:r>
      <w:r w:rsidRPr="00504060">
        <w:rPr>
          <w:color w:val="000000"/>
        </w:rPr>
        <w:t>.</w:t>
      </w:r>
      <w:r w:rsidR="00BA3EE1">
        <w:rPr>
          <w:color w:val="000000"/>
        </w:rPr>
        <w:t>396</w:t>
      </w:r>
      <w:r w:rsidRPr="00504060">
        <w:rPr>
          <w:color w:val="000000"/>
        </w:rPr>
        <w:t>,</w:t>
      </w:r>
      <w:r w:rsidR="00BA3EE1">
        <w:rPr>
          <w:color w:val="000000"/>
        </w:rPr>
        <w:t>26</w:t>
      </w:r>
      <w:r w:rsidRPr="00504060">
        <w:rPr>
          <w:color w:val="000000"/>
        </w:rPr>
        <w:t xml:space="preserve"> </w:t>
      </w:r>
      <w:r w:rsidR="00BA3EE1">
        <w:rPr>
          <w:rFonts w:cstheme="minorHAnsi"/>
          <w:color w:val="000000"/>
        </w:rPr>
        <w:t>€</w:t>
      </w:r>
    </w:p>
    <w:p w14:paraId="7F8508B0" w14:textId="606A0686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RASHODI ZA NABAVU NEFINANCIJSKE IMOVINE                                    </w:t>
      </w:r>
      <w:r>
        <w:rPr>
          <w:color w:val="000000"/>
        </w:rPr>
        <w:t xml:space="preserve">     </w:t>
      </w:r>
      <w:r w:rsidR="00BA3EE1">
        <w:rPr>
          <w:color w:val="000000"/>
        </w:rPr>
        <w:t xml:space="preserve">      </w:t>
      </w:r>
      <w:r>
        <w:rPr>
          <w:color w:val="000000"/>
        </w:rPr>
        <w:t xml:space="preserve"> </w:t>
      </w:r>
      <w:r w:rsidR="00BA3EE1">
        <w:rPr>
          <w:color w:val="000000"/>
        </w:rPr>
        <w:t>7</w:t>
      </w:r>
      <w:r w:rsidRPr="00504060">
        <w:rPr>
          <w:color w:val="000000"/>
        </w:rPr>
        <w:t>.</w:t>
      </w:r>
      <w:r w:rsidR="00BA3EE1">
        <w:rPr>
          <w:color w:val="000000"/>
        </w:rPr>
        <w:t>678</w:t>
      </w:r>
      <w:r w:rsidRPr="00504060">
        <w:rPr>
          <w:color w:val="000000"/>
        </w:rPr>
        <w:t>,</w:t>
      </w:r>
      <w:r w:rsidR="00BA3EE1">
        <w:rPr>
          <w:color w:val="000000"/>
        </w:rPr>
        <w:t>20</w:t>
      </w:r>
      <w:r w:rsidRPr="00504060">
        <w:rPr>
          <w:color w:val="000000"/>
        </w:rPr>
        <w:t xml:space="preserve"> </w:t>
      </w:r>
      <w:r w:rsidR="00BA3EE1">
        <w:rPr>
          <w:rFonts w:cstheme="minorHAnsi"/>
          <w:color w:val="000000"/>
        </w:rPr>
        <w:t>€</w:t>
      </w:r>
    </w:p>
    <w:p w14:paraId="2DAB387B" w14:textId="680C6A8E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Ukupni rashodi                                                                      </w:t>
      </w:r>
      <w:r>
        <w:rPr>
          <w:color w:val="000000"/>
        </w:rPr>
        <w:t xml:space="preserve">                            </w:t>
      </w:r>
      <w:r w:rsidR="00385E34">
        <w:rPr>
          <w:color w:val="000000"/>
        </w:rPr>
        <w:t>1.026</w:t>
      </w:r>
      <w:r w:rsidRPr="00504060">
        <w:rPr>
          <w:color w:val="000000"/>
        </w:rPr>
        <w:t>.</w:t>
      </w:r>
      <w:r w:rsidR="00385E34">
        <w:rPr>
          <w:color w:val="000000"/>
        </w:rPr>
        <w:t>074</w:t>
      </w:r>
      <w:r w:rsidRPr="00504060">
        <w:rPr>
          <w:color w:val="000000"/>
        </w:rPr>
        <w:t>,</w:t>
      </w:r>
      <w:r w:rsidR="00385E34">
        <w:rPr>
          <w:color w:val="000000"/>
        </w:rPr>
        <w:t>46</w:t>
      </w:r>
      <w:r w:rsidRPr="00504060">
        <w:rPr>
          <w:color w:val="000000"/>
        </w:rPr>
        <w:t xml:space="preserve"> </w:t>
      </w:r>
      <w:r w:rsidR="00385E34">
        <w:rPr>
          <w:rFonts w:cstheme="minorHAnsi"/>
          <w:color w:val="000000"/>
        </w:rPr>
        <w:t>€</w:t>
      </w:r>
    </w:p>
    <w:p w14:paraId="1CA299EE" w14:textId="6B3BAC45" w:rsidR="00504060" w:rsidRPr="00F779BA" w:rsidRDefault="00504060" w:rsidP="00504060">
      <w:pPr>
        <w:autoSpaceDE w:val="0"/>
        <w:autoSpaceDN w:val="0"/>
        <w:adjustRightInd w:val="0"/>
        <w:jc w:val="both"/>
      </w:pPr>
      <w:r w:rsidRPr="00F779BA">
        <w:t xml:space="preserve">RAZLIKA – VIŠAK/MANJAK                                                                                -  </w:t>
      </w:r>
      <w:r w:rsidR="00F779BA" w:rsidRPr="00F779BA">
        <w:t>81</w:t>
      </w:r>
      <w:r w:rsidRPr="00F779BA">
        <w:t>.</w:t>
      </w:r>
      <w:r w:rsidR="00F779BA" w:rsidRPr="00F779BA">
        <w:t>171</w:t>
      </w:r>
      <w:r w:rsidRPr="00F779BA">
        <w:t>,</w:t>
      </w:r>
      <w:r w:rsidR="00F779BA" w:rsidRPr="00F779BA">
        <w:t>46</w:t>
      </w:r>
      <w:r w:rsidRPr="00F779BA">
        <w:t xml:space="preserve"> </w:t>
      </w:r>
      <w:r w:rsidR="00F779BA" w:rsidRPr="00F779BA">
        <w:rPr>
          <w:rFonts w:cstheme="minorHAnsi"/>
        </w:rPr>
        <w:t>€</w:t>
      </w:r>
    </w:p>
    <w:p w14:paraId="24F811BC" w14:textId="77777777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</w:p>
    <w:p w14:paraId="5BCD1DB4" w14:textId="77777777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</w:p>
    <w:p w14:paraId="66F97C5F" w14:textId="77777777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>UKUPNI DONOS VIŠKA/MANJKA IZ PRETHODNE(IH) GODINA</w:t>
      </w:r>
    </w:p>
    <w:p w14:paraId="0C253DA1" w14:textId="3329D7A0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 xml:space="preserve">RASPOLOŽIVA SREDSTVA IZ PRETHODNIH GODINA                              </w:t>
      </w:r>
      <w:r>
        <w:rPr>
          <w:color w:val="000000"/>
        </w:rPr>
        <w:t xml:space="preserve">        </w:t>
      </w:r>
      <w:r w:rsidR="00F779BA">
        <w:rPr>
          <w:color w:val="000000"/>
        </w:rPr>
        <w:t xml:space="preserve">    </w:t>
      </w:r>
      <w:r w:rsidR="00F735D3">
        <w:rPr>
          <w:color w:val="000000"/>
        </w:rPr>
        <w:t xml:space="preserve"> 9</w:t>
      </w:r>
      <w:r w:rsidR="00F779BA">
        <w:rPr>
          <w:color w:val="000000"/>
        </w:rPr>
        <w:t>.</w:t>
      </w:r>
      <w:r w:rsidR="00F735D3">
        <w:rPr>
          <w:color w:val="000000"/>
        </w:rPr>
        <w:t>113</w:t>
      </w:r>
      <w:r w:rsidRPr="00504060">
        <w:rPr>
          <w:color w:val="000000"/>
        </w:rPr>
        <w:t>,</w:t>
      </w:r>
      <w:r w:rsidR="00F735D3">
        <w:rPr>
          <w:color w:val="000000"/>
        </w:rPr>
        <w:t>46</w:t>
      </w:r>
      <w:r w:rsidRPr="00504060">
        <w:rPr>
          <w:color w:val="000000"/>
        </w:rPr>
        <w:t xml:space="preserve"> </w:t>
      </w:r>
      <w:r w:rsidR="00F779BA">
        <w:rPr>
          <w:rFonts w:cstheme="minorHAnsi"/>
          <w:color w:val="000000"/>
        </w:rPr>
        <w:t>€</w:t>
      </w:r>
    </w:p>
    <w:p w14:paraId="0BB9F94C" w14:textId="77777777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8D8D8D"/>
        </w:rPr>
      </w:pPr>
    </w:p>
    <w:p w14:paraId="789D87BC" w14:textId="77777777" w:rsidR="00504060" w:rsidRPr="00504060" w:rsidRDefault="00504060" w:rsidP="00504060">
      <w:pPr>
        <w:autoSpaceDE w:val="0"/>
        <w:autoSpaceDN w:val="0"/>
        <w:adjustRightInd w:val="0"/>
        <w:jc w:val="both"/>
        <w:rPr>
          <w:color w:val="000000"/>
        </w:rPr>
      </w:pPr>
      <w:r w:rsidRPr="00504060">
        <w:rPr>
          <w:color w:val="000000"/>
        </w:rPr>
        <w:t>VIŠAK/MANJAK + NETO ZADUŽIVANJE/FINANCIRANJE</w:t>
      </w:r>
    </w:p>
    <w:p w14:paraId="4E6D412A" w14:textId="6C726AB3" w:rsidR="00504060" w:rsidRPr="00504060" w:rsidRDefault="00504060" w:rsidP="00504060">
      <w:pPr>
        <w:pStyle w:val="Bezproreda"/>
        <w:jc w:val="both"/>
        <w:rPr>
          <w:color w:val="000000"/>
        </w:rPr>
      </w:pPr>
      <w:r w:rsidRPr="00504060">
        <w:rPr>
          <w:color w:val="000000"/>
        </w:rPr>
        <w:t xml:space="preserve">+ RASPOLOŽIVA SREDSTVA IZ PRETHODNIH GODINA                             </w:t>
      </w:r>
      <w:r>
        <w:rPr>
          <w:color w:val="000000"/>
        </w:rPr>
        <w:t xml:space="preserve">      </w:t>
      </w:r>
      <w:r w:rsidR="00525C59">
        <w:rPr>
          <w:color w:val="000000"/>
        </w:rPr>
        <w:t>-</w:t>
      </w:r>
      <w:r w:rsidR="00F735D3">
        <w:rPr>
          <w:color w:val="000000"/>
        </w:rPr>
        <w:t xml:space="preserve"> </w:t>
      </w:r>
      <w:r w:rsidR="00F779BA">
        <w:rPr>
          <w:color w:val="000000"/>
        </w:rPr>
        <w:t>7</w:t>
      </w:r>
      <w:r w:rsidR="00F735D3">
        <w:rPr>
          <w:color w:val="000000"/>
        </w:rPr>
        <w:t>2</w:t>
      </w:r>
      <w:r w:rsidRPr="00504060">
        <w:rPr>
          <w:color w:val="000000"/>
        </w:rPr>
        <w:t>.</w:t>
      </w:r>
      <w:r w:rsidR="00F735D3">
        <w:rPr>
          <w:color w:val="000000"/>
        </w:rPr>
        <w:t>058</w:t>
      </w:r>
      <w:r w:rsidRPr="00504060">
        <w:rPr>
          <w:color w:val="000000"/>
        </w:rPr>
        <w:t>,</w:t>
      </w:r>
      <w:r w:rsidR="00F735D3">
        <w:rPr>
          <w:color w:val="000000"/>
        </w:rPr>
        <w:t>00</w:t>
      </w:r>
      <w:r w:rsidR="00F779BA">
        <w:rPr>
          <w:color w:val="000000"/>
        </w:rPr>
        <w:t xml:space="preserve"> </w:t>
      </w:r>
      <w:r w:rsidR="00F779BA">
        <w:rPr>
          <w:rFonts w:cstheme="minorHAnsi"/>
          <w:color w:val="000000"/>
        </w:rPr>
        <w:t>€</w:t>
      </w:r>
      <w:r w:rsidRPr="00504060">
        <w:rPr>
          <w:color w:val="000000"/>
        </w:rPr>
        <w:t xml:space="preserve"> </w:t>
      </w:r>
    </w:p>
    <w:p w14:paraId="5069CA7D" w14:textId="77777777" w:rsidR="00504060" w:rsidRPr="00504060" w:rsidRDefault="00504060" w:rsidP="00504060">
      <w:pPr>
        <w:pStyle w:val="Bezproreda"/>
        <w:jc w:val="both"/>
        <w:rPr>
          <w:color w:val="000000"/>
        </w:rPr>
      </w:pPr>
    </w:p>
    <w:p w14:paraId="199FBB42" w14:textId="77777777" w:rsidR="00504060" w:rsidRPr="00504060" w:rsidRDefault="00504060" w:rsidP="00504060">
      <w:pPr>
        <w:pStyle w:val="Bezproreda"/>
        <w:rPr>
          <w:color w:val="000000"/>
        </w:rPr>
      </w:pPr>
    </w:p>
    <w:p w14:paraId="1FDFA4CD" w14:textId="77777777" w:rsidR="00504060" w:rsidRPr="00504060" w:rsidRDefault="00504060" w:rsidP="00504060">
      <w:pPr>
        <w:pStyle w:val="Bezproreda"/>
      </w:pPr>
    </w:p>
    <w:p w14:paraId="61C20D6F" w14:textId="77777777" w:rsidR="00504060" w:rsidRPr="00504060" w:rsidRDefault="00504060" w:rsidP="00504060">
      <w:pPr>
        <w:pStyle w:val="Bezproreda"/>
        <w:jc w:val="center"/>
      </w:pPr>
      <w:r w:rsidRPr="00504060">
        <w:t>Članak 3.</w:t>
      </w:r>
    </w:p>
    <w:p w14:paraId="6C8A47AB" w14:textId="77777777" w:rsidR="00504060" w:rsidRPr="00504060" w:rsidRDefault="00504060" w:rsidP="00504060">
      <w:pPr>
        <w:pStyle w:val="Bezproreda"/>
        <w:jc w:val="center"/>
      </w:pPr>
    </w:p>
    <w:p w14:paraId="0FEC5DFD" w14:textId="565B4E09" w:rsidR="00504060" w:rsidRPr="00504060" w:rsidRDefault="00504060" w:rsidP="00CD579A">
      <w:pPr>
        <w:pStyle w:val="Bezproreda"/>
        <w:ind w:firstLine="708"/>
        <w:jc w:val="both"/>
      </w:pPr>
      <w:r w:rsidRPr="00504060">
        <w:t xml:space="preserve">Tijekom izvještajnog razdoblja Javne vatrogasne postrojbe Grada Požege je ostvarila ukupne prihode i primitke u iznosu  </w:t>
      </w:r>
      <w:r w:rsidR="00F779BA">
        <w:rPr>
          <w:color w:val="000000"/>
        </w:rPr>
        <w:t>944</w:t>
      </w:r>
      <w:r w:rsidRPr="00504060">
        <w:rPr>
          <w:color w:val="000000"/>
        </w:rPr>
        <w:t>.</w:t>
      </w:r>
      <w:r w:rsidR="00F779BA">
        <w:rPr>
          <w:color w:val="000000"/>
        </w:rPr>
        <w:t>903</w:t>
      </w:r>
      <w:r w:rsidRPr="00504060">
        <w:rPr>
          <w:color w:val="000000"/>
        </w:rPr>
        <w:t>,</w:t>
      </w:r>
      <w:r w:rsidR="00F779BA">
        <w:rPr>
          <w:color w:val="000000"/>
        </w:rPr>
        <w:t>00</w:t>
      </w:r>
      <w:r w:rsidRPr="00504060">
        <w:rPr>
          <w:color w:val="000000"/>
        </w:rPr>
        <w:t xml:space="preserve"> </w:t>
      </w:r>
      <w:r w:rsidR="00F779BA">
        <w:rPr>
          <w:rFonts w:cstheme="minorHAnsi"/>
        </w:rPr>
        <w:t>€</w:t>
      </w:r>
      <w:r w:rsidRPr="00504060">
        <w:t xml:space="preserve">, a ukupni rashodi i izdaci u iznosu </w:t>
      </w:r>
      <w:r w:rsidR="00F779BA">
        <w:t>1.</w:t>
      </w:r>
      <w:r w:rsidR="00F779BA">
        <w:rPr>
          <w:color w:val="000000"/>
        </w:rPr>
        <w:t>026</w:t>
      </w:r>
      <w:r w:rsidRPr="00504060">
        <w:rPr>
          <w:color w:val="000000"/>
        </w:rPr>
        <w:t>.</w:t>
      </w:r>
      <w:r w:rsidR="00F779BA">
        <w:rPr>
          <w:color w:val="000000"/>
        </w:rPr>
        <w:t>074</w:t>
      </w:r>
      <w:r w:rsidRPr="00504060">
        <w:rPr>
          <w:color w:val="000000"/>
        </w:rPr>
        <w:t>,</w:t>
      </w:r>
      <w:r w:rsidR="00F779BA">
        <w:rPr>
          <w:color w:val="000000"/>
        </w:rPr>
        <w:t>46</w:t>
      </w:r>
      <w:r w:rsidRPr="00504060">
        <w:rPr>
          <w:color w:val="000000"/>
        </w:rPr>
        <w:t xml:space="preserve"> </w:t>
      </w:r>
      <w:r w:rsidR="00F779BA">
        <w:rPr>
          <w:rFonts w:cstheme="minorHAnsi"/>
        </w:rPr>
        <w:t>€</w:t>
      </w:r>
      <w:r w:rsidRPr="00504060">
        <w:t xml:space="preserve">. Iz navedenog  proizlazi manjak u iznosu </w:t>
      </w:r>
      <w:r w:rsidR="00F779BA">
        <w:rPr>
          <w:color w:val="000000"/>
        </w:rPr>
        <w:t>81</w:t>
      </w:r>
      <w:r w:rsidRPr="00504060">
        <w:rPr>
          <w:color w:val="000000"/>
        </w:rPr>
        <w:t>.</w:t>
      </w:r>
      <w:r w:rsidR="00F779BA">
        <w:rPr>
          <w:color w:val="000000"/>
        </w:rPr>
        <w:t>171</w:t>
      </w:r>
      <w:r w:rsidRPr="00504060">
        <w:rPr>
          <w:color w:val="000000"/>
        </w:rPr>
        <w:t>,</w:t>
      </w:r>
      <w:r w:rsidR="00F779BA">
        <w:rPr>
          <w:color w:val="000000"/>
        </w:rPr>
        <w:t>4</w:t>
      </w:r>
      <w:r w:rsidRPr="00504060">
        <w:rPr>
          <w:color w:val="000000"/>
        </w:rPr>
        <w:t xml:space="preserve">6 </w:t>
      </w:r>
      <w:r w:rsidR="00F779BA">
        <w:rPr>
          <w:rFonts w:cstheme="minorHAnsi"/>
          <w:bCs/>
        </w:rPr>
        <w:t>€</w:t>
      </w:r>
      <w:r w:rsidRPr="00504060">
        <w:rPr>
          <w:bCs/>
        </w:rPr>
        <w:t>,</w:t>
      </w:r>
      <w:r w:rsidRPr="00504060">
        <w:t xml:space="preserve"> što sa prenesenim viškom iz prethodne godine proračunske godine u iznosu  </w:t>
      </w:r>
      <w:r w:rsidR="00F735D3">
        <w:rPr>
          <w:color w:val="000000"/>
        </w:rPr>
        <w:t>9</w:t>
      </w:r>
      <w:r w:rsidRPr="00504060">
        <w:rPr>
          <w:color w:val="000000"/>
        </w:rPr>
        <w:t>.</w:t>
      </w:r>
      <w:r w:rsidR="00F735D3">
        <w:rPr>
          <w:color w:val="000000"/>
        </w:rPr>
        <w:t>113</w:t>
      </w:r>
      <w:r w:rsidRPr="00504060">
        <w:rPr>
          <w:color w:val="000000"/>
        </w:rPr>
        <w:t>,</w:t>
      </w:r>
      <w:r w:rsidR="00F735D3">
        <w:rPr>
          <w:color w:val="000000"/>
        </w:rPr>
        <w:t>46</w:t>
      </w:r>
      <w:r w:rsidRPr="00504060">
        <w:rPr>
          <w:color w:val="000000"/>
        </w:rPr>
        <w:t xml:space="preserve"> </w:t>
      </w:r>
      <w:r w:rsidR="004471F9">
        <w:rPr>
          <w:rFonts w:cstheme="minorHAnsi"/>
          <w:color w:val="000000"/>
        </w:rPr>
        <w:t>€</w:t>
      </w:r>
      <w:r w:rsidR="004471F9">
        <w:rPr>
          <w:color w:val="000000"/>
        </w:rPr>
        <w:t>,</w:t>
      </w:r>
      <w:r w:rsidRPr="00504060">
        <w:t xml:space="preserve"> čini ukupni </w:t>
      </w:r>
      <w:r w:rsidR="004471F9">
        <w:t>manjak</w:t>
      </w:r>
      <w:r w:rsidRPr="00504060">
        <w:t xml:space="preserve"> od </w:t>
      </w:r>
      <w:r w:rsidRPr="00504060">
        <w:rPr>
          <w:color w:val="000000"/>
        </w:rPr>
        <w:t>7</w:t>
      </w:r>
      <w:r w:rsidR="00F735D3">
        <w:rPr>
          <w:color w:val="000000"/>
        </w:rPr>
        <w:t>2</w:t>
      </w:r>
      <w:r w:rsidRPr="00504060">
        <w:rPr>
          <w:color w:val="000000"/>
        </w:rPr>
        <w:t>.</w:t>
      </w:r>
      <w:r w:rsidR="00F735D3">
        <w:rPr>
          <w:color w:val="000000"/>
        </w:rPr>
        <w:t>058</w:t>
      </w:r>
      <w:r w:rsidRPr="00504060">
        <w:rPr>
          <w:color w:val="000000"/>
        </w:rPr>
        <w:t>,</w:t>
      </w:r>
      <w:r w:rsidR="00F735D3">
        <w:rPr>
          <w:color w:val="000000"/>
        </w:rPr>
        <w:t>00</w:t>
      </w:r>
      <w:r w:rsidRPr="00504060">
        <w:rPr>
          <w:color w:val="000000"/>
        </w:rPr>
        <w:t xml:space="preserve"> </w:t>
      </w:r>
      <w:r w:rsidR="004471F9">
        <w:rPr>
          <w:rFonts w:cstheme="minorHAnsi"/>
        </w:rPr>
        <w:t>€</w:t>
      </w:r>
      <w:r w:rsidR="006D5643">
        <w:t xml:space="preserve"> koji se sastoji: od viška </w:t>
      </w:r>
      <w:r w:rsidR="00F735D3">
        <w:t>7</w:t>
      </w:r>
      <w:r w:rsidR="006D5643">
        <w:t>.</w:t>
      </w:r>
      <w:r w:rsidR="00F735D3">
        <w:t>029</w:t>
      </w:r>
      <w:r w:rsidR="006D5643">
        <w:t>,</w:t>
      </w:r>
      <w:r w:rsidR="00F735D3">
        <w:t>19</w:t>
      </w:r>
      <w:r w:rsidR="006D5643">
        <w:t xml:space="preserve"> </w:t>
      </w:r>
      <w:r w:rsidR="006D5643">
        <w:rPr>
          <w:rFonts w:cstheme="minorHAnsi"/>
        </w:rPr>
        <w:t>€</w:t>
      </w:r>
      <w:r w:rsidR="006D5643">
        <w:t xml:space="preserve"> i metodološkog manjka od 79.087,19 </w:t>
      </w:r>
      <w:r w:rsidR="006D5643">
        <w:rPr>
          <w:rFonts w:cstheme="minorHAnsi"/>
        </w:rPr>
        <w:t>€</w:t>
      </w:r>
      <w:r w:rsidR="006D5643">
        <w:t>. Metodološki manjak sastoji se od neplaćenih računa i plaće za prosinac koja je evidentirana na rashod</w:t>
      </w:r>
      <w:r w:rsidR="001E0BAB">
        <w:t>ima</w:t>
      </w:r>
      <w:r w:rsidR="006D5643">
        <w:t xml:space="preserve"> za 2025. godinu</w:t>
      </w:r>
      <w:r w:rsidR="001E0BAB">
        <w:t xml:space="preserve"> (isplaćena u 2026. godini) iz </w:t>
      </w:r>
      <w:r w:rsidR="001E0BAB" w:rsidRPr="00067609">
        <w:t>izvora 1.</w:t>
      </w:r>
      <w:r w:rsidR="00067609" w:rsidRPr="00067609">
        <w:t>1</w:t>
      </w:r>
      <w:r w:rsidR="001E0BAB" w:rsidRPr="00067609">
        <w:t>.</w:t>
      </w:r>
      <w:r w:rsidR="00805430">
        <w:t xml:space="preserve"> – Opći prihodi i primici.</w:t>
      </w:r>
    </w:p>
    <w:p w14:paraId="79DE77EA" w14:textId="77777777" w:rsidR="00504060" w:rsidRPr="00504060" w:rsidRDefault="00504060" w:rsidP="00504060">
      <w:pPr>
        <w:pStyle w:val="Bezproreda"/>
      </w:pPr>
    </w:p>
    <w:p w14:paraId="037A0B35" w14:textId="77777777" w:rsidR="00F779BA" w:rsidRPr="00504060" w:rsidRDefault="00F779BA" w:rsidP="00F779BA">
      <w:pPr>
        <w:pStyle w:val="Bezproreda"/>
      </w:pPr>
    </w:p>
    <w:p w14:paraId="6B349AC4" w14:textId="77777777" w:rsidR="00504060" w:rsidRPr="00504060" w:rsidRDefault="00504060" w:rsidP="00504060">
      <w:pPr>
        <w:pStyle w:val="Bezproreda"/>
        <w:jc w:val="center"/>
      </w:pPr>
      <w:r w:rsidRPr="00504060">
        <w:t>Članak 4.</w:t>
      </w:r>
    </w:p>
    <w:p w14:paraId="5C223322" w14:textId="77777777" w:rsidR="00504060" w:rsidRPr="00504060" w:rsidRDefault="00504060" w:rsidP="00504060">
      <w:pPr>
        <w:pStyle w:val="Bezproreda"/>
        <w:jc w:val="center"/>
      </w:pPr>
    </w:p>
    <w:p w14:paraId="271088C7" w14:textId="77777777" w:rsidR="00504060" w:rsidRPr="00504060" w:rsidRDefault="00504060" w:rsidP="00CD579A">
      <w:pPr>
        <w:pStyle w:val="Bezproreda"/>
        <w:jc w:val="both"/>
      </w:pPr>
      <w:r w:rsidRPr="00504060">
        <w:tab/>
        <w:t>Prihodi i rashodi, te primci i izdaci na razini odjeljka ekonomske klasifikacije utvrđuju se u Računu prihoda i rashoda i Računu financiranja.</w:t>
      </w:r>
    </w:p>
    <w:p w14:paraId="405C0393" w14:textId="77777777" w:rsidR="00504060" w:rsidRPr="00504060" w:rsidRDefault="00504060" w:rsidP="00504060">
      <w:pPr>
        <w:pStyle w:val="Bezproreda"/>
      </w:pPr>
    </w:p>
    <w:p w14:paraId="44007FE8" w14:textId="47DF9FE0" w:rsidR="00504060" w:rsidRPr="00504060" w:rsidRDefault="00504060" w:rsidP="00504060">
      <w:pPr>
        <w:pStyle w:val="Bezproreda"/>
      </w:pPr>
    </w:p>
    <w:p w14:paraId="6237CE28" w14:textId="77777777" w:rsidR="00504060" w:rsidRDefault="00504060" w:rsidP="00504060">
      <w:pPr>
        <w:pStyle w:val="Bezproreda"/>
      </w:pPr>
    </w:p>
    <w:p w14:paraId="0BC9D06B" w14:textId="77777777" w:rsidR="00F779BA" w:rsidRDefault="00F779BA" w:rsidP="00504060">
      <w:pPr>
        <w:pStyle w:val="Bezproreda"/>
      </w:pPr>
    </w:p>
    <w:p w14:paraId="2B4B236A" w14:textId="77777777" w:rsidR="00F779BA" w:rsidRDefault="00F779BA" w:rsidP="00504060">
      <w:pPr>
        <w:pStyle w:val="Bezproreda"/>
      </w:pPr>
    </w:p>
    <w:p w14:paraId="4BCF346F" w14:textId="77777777" w:rsidR="00F779BA" w:rsidRDefault="00F779BA" w:rsidP="00504060">
      <w:pPr>
        <w:pStyle w:val="Bezproreda"/>
      </w:pPr>
    </w:p>
    <w:p w14:paraId="2324DBD3" w14:textId="77777777" w:rsidR="00F779BA" w:rsidRDefault="00F779BA" w:rsidP="00504060">
      <w:pPr>
        <w:pStyle w:val="Bezproreda"/>
      </w:pPr>
    </w:p>
    <w:p w14:paraId="43C52054" w14:textId="77777777" w:rsidR="00F779BA" w:rsidRDefault="00F779BA" w:rsidP="00504060">
      <w:pPr>
        <w:pStyle w:val="Bezproreda"/>
      </w:pPr>
    </w:p>
    <w:p w14:paraId="5921BBEF" w14:textId="77777777" w:rsidR="00F779BA" w:rsidRPr="00504060" w:rsidRDefault="00F779BA" w:rsidP="00504060">
      <w:pPr>
        <w:pStyle w:val="Bezproreda"/>
      </w:pPr>
    </w:p>
    <w:p w14:paraId="11ECBD6F" w14:textId="77777777" w:rsidR="00504060" w:rsidRPr="00504060" w:rsidRDefault="00504060" w:rsidP="00504060">
      <w:pPr>
        <w:pStyle w:val="Bezproreda"/>
        <w:numPr>
          <w:ilvl w:val="0"/>
          <w:numId w:val="1"/>
        </w:numPr>
      </w:pPr>
      <w:r w:rsidRPr="00504060">
        <w:t>POSEBNI DIO</w:t>
      </w:r>
    </w:p>
    <w:p w14:paraId="422C0A30" w14:textId="77777777" w:rsidR="00504060" w:rsidRPr="00504060" w:rsidRDefault="00504060" w:rsidP="00504060">
      <w:pPr>
        <w:pStyle w:val="Bezproreda"/>
      </w:pPr>
    </w:p>
    <w:p w14:paraId="2E8FBC7D" w14:textId="77777777" w:rsidR="00504060" w:rsidRPr="00504060" w:rsidRDefault="00504060" w:rsidP="00504060">
      <w:pPr>
        <w:pStyle w:val="Bezproreda"/>
      </w:pPr>
    </w:p>
    <w:p w14:paraId="5B3ED436" w14:textId="77777777" w:rsidR="00504060" w:rsidRPr="00504060" w:rsidRDefault="00504060" w:rsidP="00504060">
      <w:pPr>
        <w:pStyle w:val="Bezproreda"/>
        <w:jc w:val="center"/>
      </w:pPr>
      <w:r w:rsidRPr="00504060">
        <w:t>Članak 5.</w:t>
      </w:r>
    </w:p>
    <w:p w14:paraId="145FFC6D" w14:textId="77777777" w:rsidR="00504060" w:rsidRPr="00504060" w:rsidRDefault="00504060" w:rsidP="00504060">
      <w:pPr>
        <w:pStyle w:val="Bezproreda"/>
        <w:jc w:val="center"/>
      </w:pPr>
    </w:p>
    <w:p w14:paraId="4163AF26" w14:textId="4455C57A" w:rsidR="00504060" w:rsidRPr="00504060" w:rsidRDefault="00504060" w:rsidP="00504060">
      <w:pPr>
        <w:pStyle w:val="Bezproreda"/>
      </w:pPr>
      <w:r w:rsidRPr="00504060">
        <w:tab/>
        <w:t>Rashodi poslovanja i rashodi za nabavu nefinancijske imovine u Proračunu Javne vatrogasne postrojbe Grada Požege ostvareni u iznosu</w:t>
      </w:r>
      <w:r w:rsidR="00CD579A">
        <w:t xml:space="preserve"> 1.026.074,46 </w:t>
      </w:r>
      <w:r w:rsidR="00CD579A">
        <w:rPr>
          <w:rFonts w:cstheme="minorHAnsi"/>
        </w:rPr>
        <w:t>€</w:t>
      </w:r>
      <w:r w:rsidR="00CD579A">
        <w:t>.</w:t>
      </w:r>
    </w:p>
    <w:p w14:paraId="28431E92" w14:textId="77777777" w:rsidR="00504060" w:rsidRPr="00504060" w:rsidRDefault="00504060" w:rsidP="00504060">
      <w:pPr>
        <w:pStyle w:val="Bezproreda"/>
      </w:pPr>
    </w:p>
    <w:p w14:paraId="31F891BE" w14:textId="77777777" w:rsidR="00504060" w:rsidRPr="00504060" w:rsidRDefault="00504060" w:rsidP="00504060">
      <w:pPr>
        <w:pStyle w:val="Bezproreda"/>
      </w:pPr>
    </w:p>
    <w:p w14:paraId="27FC0389" w14:textId="77777777" w:rsidR="00504060" w:rsidRPr="00504060" w:rsidRDefault="00504060" w:rsidP="00504060">
      <w:pPr>
        <w:pStyle w:val="Bezproreda"/>
        <w:numPr>
          <w:ilvl w:val="0"/>
          <w:numId w:val="1"/>
        </w:numPr>
      </w:pPr>
      <w:r w:rsidRPr="00504060">
        <w:t>ZAVRŠNE ODREDBE</w:t>
      </w:r>
    </w:p>
    <w:p w14:paraId="0A206CA0" w14:textId="77777777" w:rsidR="00504060" w:rsidRPr="00504060" w:rsidRDefault="00504060" w:rsidP="00504060">
      <w:pPr>
        <w:pStyle w:val="Bezproreda"/>
      </w:pPr>
    </w:p>
    <w:p w14:paraId="18F3DF0A" w14:textId="77777777" w:rsidR="00504060" w:rsidRPr="00504060" w:rsidRDefault="00504060" w:rsidP="00504060">
      <w:pPr>
        <w:pStyle w:val="Bezproreda"/>
      </w:pPr>
    </w:p>
    <w:p w14:paraId="5EC03CDA" w14:textId="77777777" w:rsidR="00504060" w:rsidRPr="00504060" w:rsidRDefault="00504060" w:rsidP="00504060">
      <w:pPr>
        <w:pStyle w:val="Bezproreda"/>
        <w:jc w:val="center"/>
      </w:pPr>
      <w:r w:rsidRPr="00504060">
        <w:t>Članak 6.</w:t>
      </w:r>
    </w:p>
    <w:p w14:paraId="0FEB5635" w14:textId="77777777" w:rsidR="00504060" w:rsidRPr="00504060" w:rsidRDefault="00504060" w:rsidP="00504060">
      <w:pPr>
        <w:pStyle w:val="Bezproreda"/>
        <w:jc w:val="center"/>
      </w:pPr>
    </w:p>
    <w:p w14:paraId="5256EF04" w14:textId="2BA937F2" w:rsidR="00504060" w:rsidRPr="00504060" w:rsidRDefault="00504060" w:rsidP="00CD579A">
      <w:pPr>
        <w:pStyle w:val="Bezproreda"/>
        <w:jc w:val="both"/>
      </w:pPr>
      <w:r w:rsidRPr="00504060">
        <w:tab/>
        <w:t>Opći i posebni dio Godišnjeg izvještaja o izvršenju Financijskog plana Javne vatrogasne postrojbe Grada Požege za 202</w:t>
      </w:r>
      <w:r w:rsidR="004471F9">
        <w:t>5</w:t>
      </w:r>
      <w:r w:rsidRPr="00504060">
        <w:t>. godinu objaviti će se na oglasnoj ploči Javne vatrogasne postrojbe Grada Požege, a cjelokupni izvještaj o izvršenju Financijskog plana Javne vatrogasne postrojbe Grada Požege za 202</w:t>
      </w:r>
      <w:r w:rsidR="004471F9">
        <w:t>5</w:t>
      </w:r>
      <w:r w:rsidRPr="00504060">
        <w:t xml:space="preserve">. godinu na mrežnim stranicama Javne vatrogasne postrojbe Grada Požege </w:t>
      </w:r>
      <w:hyperlink r:id="rId8" w:history="1">
        <w:r w:rsidRPr="00504060">
          <w:rPr>
            <w:rStyle w:val="Hiperveza"/>
          </w:rPr>
          <w:t>https://www.jvp-pozega.hr/</w:t>
        </w:r>
      </w:hyperlink>
    </w:p>
    <w:p w14:paraId="6C1C5C65" w14:textId="77777777" w:rsidR="00504060" w:rsidRPr="00504060" w:rsidRDefault="00504060" w:rsidP="00504060">
      <w:pPr>
        <w:pStyle w:val="Bezproreda"/>
      </w:pPr>
    </w:p>
    <w:p w14:paraId="171176C5" w14:textId="77777777" w:rsidR="00504060" w:rsidRPr="00504060" w:rsidRDefault="00504060" w:rsidP="00504060">
      <w:pPr>
        <w:pStyle w:val="Bezproreda"/>
      </w:pPr>
    </w:p>
    <w:p w14:paraId="14062296" w14:textId="77777777" w:rsidR="00504060" w:rsidRPr="00504060" w:rsidRDefault="00504060" w:rsidP="00504060">
      <w:pPr>
        <w:pStyle w:val="Bezproreda"/>
      </w:pPr>
    </w:p>
    <w:p w14:paraId="4A697EC0" w14:textId="77777777" w:rsidR="00504060" w:rsidRPr="00504060" w:rsidRDefault="00504060" w:rsidP="00504060">
      <w:pPr>
        <w:pStyle w:val="Bezproreda"/>
      </w:pPr>
    </w:p>
    <w:p w14:paraId="4C3076AC" w14:textId="77777777" w:rsidR="00504060" w:rsidRPr="00504060" w:rsidRDefault="00504060" w:rsidP="00504060">
      <w:pPr>
        <w:pStyle w:val="Bezproreda"/>
      </w:pPr>
    </w:p>
    <w:p w14:paraId="7A45860A" w14:textId="77777777" w:rsidR="00504060" w:rsidRPr="00504060" w:rsidRDefault="00504060" w:rsidP="00504060">
      <w:pPr>
        <w:pStyle w:val="Bezproreda"/>
      </w:pPr>
    </w:p>
    <w:p w14:paraId="58341A81" w14:textId="77777777" w:rsidR="00504060" w:rsidRPr="00504060" w:rsidRDefault="00504060" w:rsidP="00504060">
      <w:pPr>
        <w:pStyle w:val="Bezproreda"/>
      </w:pPr>
    </w:p>
    <w:p w14:paraId="61E99DDA" w14:textId="77777777" w:rsidR="00504060" w:rsidRPr="00504060" w:rsidRDefault="00504060" w:rsidP="00504060">
      <w:pPr>
        <w:pStyle w:val="Bezproreda"/>
      </w:pPr>
    </w:p>
    <w:p w14:paraId="5A59AFFA" w14:textId="77777777" w:rsidR="00504060" w:rsidRPr="00504060" w:rsidRDefault="00504060" w:rsidP="00504060">
      <w:pPr>
        <w:pStyle w:val="Bezproreda"/>
      </w:pPr>
    </w:p>
    <w:p w14:paraId="3DC0E65B" w14:textId="77777777" w:rsidR="00504060" w:rsidRPr="00504060" w:rsidRDefault="00504060" w:rsidP="00504060">
      <w:pPr>
        <w:pStyle w:val="Bezproreda"/>
      </w:pPr>
    </w:p>
    <w:p w14:paraId="29ECE494" w14:textId="49327270" w:rsidR="00504060" w:rsidRPr="00504060" w:rsidRDefault="00504060" w:rsidP="00504060">
      <w:pPr>
        <w:pStyle w:val="Bezproreda"/>
      </w:pPr>
    </w:p>
    <w:p w14:paraId="0009CD73" w14:textId="77777777" w:rsidR="00504060" w:rsidRPr="00504060" w:rsidRDefault="00504060" w:rsidP="00504060">
      <w:pPr>
        <w:pStyle w:val="Bezproreda"/>
      </w:pPr>
    </w:p>
    <w:p w14:paraId="131B536D" w14:textId="77777777" w:rsidR="00504060" w:rsidRPr="00504060" w:rsidRDefault="00504060" w:rsidP="00504060">
      <w:pPr>
        <w:pStyle w:val="Bezproreda"/>
      </w:pPr>
    </w:p>
    <w:p w14:paraId="1A5C3B3E" w14:textId="77777777" w:rsidR="00504060" w:rsidRPr="00504060" w:rsidRDefault="00504060" w:rsidP="00504060">
      <w:pPr>
        <w:pStyle w:val="Bezproreda"/>
        <w:jc w:val="center"/>
      </w:pPr>
      <w:r w:rsidRPr="00504060">
        <w:t xml:space="preserve">                                                                                Predsjednik Vatrogasnog vijeća</w:t>
      </w:r>
    </w:p>
    <w:p w14:paraId="5F5974F5" w14:textId="77777777" w:rsidR="00504060" w:rsidRPr="00504060" w:rsidRDefault="00504060" w:rsidP="00504060">
      <w:pPr>
        <w:pStyle w:val="Bezproreda"/>
        <w:jc w:val="center"/>
      </w:pPr>
      <w:r w:rsidRPr="00504060">
        <w:t xml:space="preserve">                                                                                  JVP-a Grada Požege</w:t>
      </w:r>
    </w:p>
    <w:p w14:paraId="05E8D4EF" w14:textId="723D14EA" w:rsidR="00504060" w:rsidRPr="00504060" w:rsidRDefault="00504060" w:rsidP="00504060">
      <w:pPr>
        <w:pStyle w:val="Bezproreda"/>
        <w:jc w:val="center"/>
      </w:pPr>
      <w:r w:rsidRPr="00504060">
        <w:t xml:space="preserve">                                                                                v.r. </w:t>
      </w:r>
      <w:r w:rsidR="00D11B33">
        <w:t>Josip Pavković, dipl. iur.</w:t>
      </w:r>
    </w:p>
    <w:p w14:paraId="503D94BD" w14:textId="77777777" w:rsidR="00504060" w:rsidRPr="00504060" w:rsidRDefault="00504060" w:rsidP="00504060">
      <w:pPr>
        <w:pStyle w:val="Bezproreda"/>
        <w:jc w:val="right"/>
      </w:pPr>
    </w:p>
    <w:p w14:paraId="657FEE2D" w14:textId="2F5D1FC9" w:rsidR="00504060" w:rsidRDefault="00504060" w:rsidP="00504060">
      <w:pPr>
        <w:pStyle w:val="Bezproreda"/>
        <w:rPr>
          <w:color w:val="000000"/>
        </w:rPr>
      </w:pPr>
    </w:p>
    <w:p w14:paraId="6BA97658" w14:textId="69052E5D" w:rsidR="00504060" w:rsidRDefault="00504060" w:rsidP="00504060">
      <w:pPr>
        <w:pStyle w:val="Bezproreda"/>
        <w:rPr>
          <w:color w:val="000000"/>
        </w:rPr>
      </w:pPr>
    </w:p>
    <w:p w14:paraId="06D08566" w14:textId="089A44D8" w:rsidR="00504060" w:rsidRDefault="00504060" w:rsidP="00504060">
      <w:pPr>
        <w:pStyle w:val="Bezproreda"/>
        <w:rPr>
          <w:color w:val="000000"/>
        </w:rPr>
      </w:pPr>
    </w:p>
    <w:p w14:paraId="454E1309" w14:textId="77777777" w:rsidR="00F779BA" w:rsidRDefault="00F779BA" w:rsidP="00504060">
      <w:pPr>
        <w:pStyle w:val="Bezproreda"/>
        <w:rPr>
          <w:color w:val="000000"/>
        </w:rPr>
      </w:pPr>
    </w:p>
    <w:p w14:paraId="46BAAEDC" w14:textId="77777777" w:rsidR="00F779BA" w:rsidRDefault="00F779BA" w:rsidP="00504060">
      <w:pPr>
        <w:pStyle w:val="Bezproreda"/>
        <w:rPr>
          <w:color w:val="000000"/>
        </w:rPr>
      </w:pPr>
    </w:p>
    <w:p w14:paraId="214FBB15" w14:textId="0AC8D957" w:rsidR="00504060" w:rsidRDefault="00504060" w:rsidP="00504060">
      <w:pPr>
        <w:pStyle w:val="Bezproreda"/>
        <w:rPr>
          <w:color w:val="000000"/>
        </w:rPr>
      </w:pPr>
    </w:p>
    <w:p w14:paraId="5646A7BC" w14:textId="77777777" w:rsidR="00504060" w:rsidRPr="00504060" w:rsidRDefault="00504060" w:rsidP="00504060">
      <w:pPr>
        <w:pStyle w:val="Bezproreda"/>
        <w:rPr>
          <w:color w:val="000000"/>
        </w:rPr>
      </w:pPr>
    </w:p>
    <w:p w14:paraId="77E1142E" w14:textId="77777777" w:rsidR="00504060" w:rsidRPr="00504060" w:rsidRDefault="00504060" w:rsidP="00504060">
      <w:pPr>
        <w:pStyle w:val="Bezproreda"/>
      </w:pPr>
    </w:p>
    <w:p w14:paraId="10D00EC4" w14:textId="77777777" w:rsidR="00504060" w:rsidRPr="00504060" w:rsidRDefault="00504060" w:rsidP="00504060">
      <w:pPr>
        <w:pStyle w:val="Bezproreda"/>
      </w:pPr>
      <w:r w:rsidRPr="00504060">
        <w:t>2. OBRAZLOŽENJE OSTVARENJA PRIHODA I PRIMITAKA, RASHODA I IZDATAKA</w:t>
      </w:r>
    </w:p>
    <w:p w14:paraId="18D337F8" w14:textId="77777777" w:rsidR="00504060" w:rsidRPr="00504060" w:rsidRDefault="00504060" w:rsidP="00504060">
      <w:pPr>
        <w:pStyle w:val="Bezproreda"/>
      </w:pPr>
    </w:p>
    <w:p w14:paraId="5896552F" w14:textId="2F815FAD" w:rsidR="00504060" w:rsidRPr="00504060" w:rsidRDefault="00504060" w:rsidP="00504060">
      <w:pPr>
        <w:pStyle w:val="Bezproreda"/>
      </w:pPr>
      <w:r w:rsidRPr="00504060">
        <w:t xml:space="preserve"> 2.1 UVOD </w:t>
      </w:r>
    </w:p>
    <w:p w14:paraId="1A4EE071" w14:textId="77777777" w:rsidR="00504060" w:rsidRPr="00504060" w:rsidRDefault="00504060" w:rsidP="00504060">
      <w:pPr>
        <w:pStyle w:val="Bezproreda"/>
      </w:pPr>
    </w:p>
    <w:p w14:paraId="5F0505E6" w14:textId="6573AC38" w:rsidR="00504060" w:rsidRPr="00504060" w:rsidRDefault="004248C9" w:rsidP="00CD579A">
      <w:pPr>
        <w:pStyle w:val="Bezproreda"/>
        <w:ind w:firstLine="708"/>
        <w:jc w:val="both"/>
      </w:pPr>
      <w:r w:rsidRPr="004248C9">
        <w:rPr>
          <w:rFonts w:ascii="Calibri" w:eastAsia="Times New Roman" w:hAnsi="Calibri" w:cs="Calibri"/>
          <w:lang w:eastAsia="zh-CN"/>
        </w:rPr>
        <w:t xml:space="preserve">Financijski plan Javne vatrogasne postrojbe Grada Požega za 2025. godinu usvojilo je Vatrogasno vijeće Javne vatrogasne postrojbe Grada Požega na </w:t>
      </w:r>
      <w:r w:rsidR="00441EE5">
        <w:rPr>
          <w:rFonts w:ascii="Calibri" w:eastAsia="Times New Roman" w:hAnsi="Calibri" w:cs="Calibri"/>
          <w:lang w:eastAsia="zh-CN"/>
        </w:rPr>
        <w:t xml:space="preserve">svojoj </w:t>
      </w:r>
      <w:r w:rsidRPr="004248C9">
        <w:rPr>
          <w:rFonts w:ascii="Calibri" w:eastAsia="Times New Roman" w:hAnsi="Calibri" w:cs="Calibri"/>
          <w:lang w:eastAsia="zh-CN"/>
        </w:rPr>
        <w:t xml:space="preserve">12. sjednici održanoj dana, 14. studenog 2024. godine </w:t>
      </w:r>
      <w:r w:rsidR="00441EE5">
        <w:rPr>
          <w:rFonts w:ascii="Calibri" w:eastAsia="Times New Roman" w:hAnsi="Calibri" w:cs="Calibri"/>
          <w:lang w:eastAsia="zh-CN"/>
        </w:rPr>
        <w:t>(</w:t>
      </w:r>
      <w:r w:rsidRPr="004248C9">
        <w:rPr>
          <w:rFonts w:ascii="Calibri" w:eastAsia="Times New Roman" w:hAnsi="Calibri" w:cs="Calibri"/>
          <w:lang w:eastAsia="zh-CN"/>
        </w:rPr>
        <w:t xml:space="preserve">KLASA:250-14/24-01/02, URBROJ:2177-1-26-01-24-6 od 12. studenog 2024. godine). Financijskim planom Javne vatrogasne postrojbe Grada Požega planirani su prihodi i primici, rashodi i izdaci u iznosu </w:t>
      </w:r>
      <w:r w:rsidR="00CC7C6C">
        <w:rPr>
          <w:rFonts w:ascii="Calibri" w:eastAsia="Times New Roman" w:hAnsi="Calibri" w:cs="Calibri"/>
          <w:lang w:eastAsia="zh-CN"/>
        </w:rPr>
        <w:t xml:space="preserve">od </w:t>
      </w:r>
      <w:r w:rsidRPr="004248C9">
        <w:rPr>
          <w:rFonts w:ascii="Calibri" w:eastAsia="Times New Roman" w:hAnsi="Calibri" w:cs="Calibri"/>
          <w:lang w:eastAsia="zh-CN"/>
        </w:rPr>
        <w:t>911.561,00 €</w:t>
      </w:r>
      <w:r w:rsidR="00504060" w:rsidRPr="00504060">
        <w:t xml:space="preserve">. </w:t>
      </w:r>
    </w:p>
    <w:p w14:paraId="5EC020E5" w14:textId="2175DADF" w:rsidR="00504060" w:rsidRPr="00504060" w:rsidRDefault="001E1E29" w:rsidP="00CD579A">
      <w:pPr>
        <w:pStyle w:val="Bezproreda"/>
        <w:ind w:firstLine="708"/>
        <w:jc w:val="both"/>
      </w:pPr>
      <w:r>
        <w:t>I</w:t>
      </w:r>
      <w:r w:rsidR="00504060" w:rsidRPr="00504060">
        <w:t xml:space="preserve">. </w:t>
      </w:r>
      <w:r w:rsidR="00D142F4">
        <w:t>I</w:t>
      </w:r>
      <w:r w:rsidR="00504060" w:rsidRPr="00504060">
        <w:t>zmjen</w:t>
      </w:r>
      <w:r w:rsidR="004248C9">
        <w:t>u</w:t>
      </w:r>
      <w:r w:rsidR="00504060" w:rsidRPr="00504060">
        <w:t xml:space="preserve"> i dopun</w:t>
      </w:r>
      <w:r w:rsidR="004248C9">
        <w:t>u</w:t>
      </w:r>
      <w:r w:rsidR="00504060" w:rsidRPr="00504060">
        <w:t xml:space="preserve"> </w:t>
      </w:r>
      <w:r w:rsidR="00441EE5">
        <w:t>f</w:t>
      </w:r>
      <w:r w:rsidR="00504060" w:rsidRPr="00504060">
        <w:t>inancijskog plana Javne vatrogasne postrojbe Grada Požege za 202</w:t>
      </w:r>
      <w:r w:rsidR="004248C9">
        <w:t>5</w:t>
      </w:r>
      <w:r w:rsidR="00504060" w:rsidRPr="00504060">
        <w:t xml:space="preserve">. godinu </w:t>
      </w:r>
      <w:r w:rsidR="00441EE5">
        <w:t xml:space="preserve">usvojilo je </w:t>
      </w:r>
      <w:r w:rsidR="004248C9" w:rsidRPr="004248C9">
        <w:rPr>
          <w:rFonts w:ascii="Calibri" w:eastAsia="Times New Roman" w:hAnsi="Calibri" w:cs="Calibri"/>
          <w:lang w:eastAsia="zh-CN"/>
        </w:rPr>
        <w:t>Vatrogasno vijeće Javne vatrogasne postrojbe Grada Požege</w:t>
      </w:r>
      <w:r w:rsidR="00441EE5">
        <w:rPr>
          <w:rFonts w:ascii="Calibri" w:eastAsia="Times New Roman" w:hAnsi="Calibri" w:cs="Calibri"/>
          <w:lang w:eastAsia="zh-CN"/>
        </w:rPr>
        <w:t xml:space="preserve"> </w:t>
      </w:r>
      <w:r w:rsidR="004248C9" w:rsidRPr="004248C9">
        <w:rPr>
          <w:rFonts w:ascii="Calibri" w:eastAsia="Times New Roman" w:hAnsi="Calibri" w:cs="Calibri"/>
          <w:lang w:eastAsia="zh-CN"/>
        </w:rPr>
        <w:t xml:space="preserve">na </w:t>
      </w:r>
      <w:r w:rsidR="001954FC">
        <w:rPr>
          <w:rFonts w:ascii="Calibri" w:eastAsia="Times New Roman" w:hAnsi="Calibri" w:cs="Calibri"/>
          <w:lang w:eastAsia="zh-CN"/>
        </w:rPr>
        <w:t xml:space="preserve">svojoj </w:t>
      </w:r>
      <w:r w:rsidR="004248C9" w:rsidRPr="004248C9">
        <w:rPr>
          <w:rFonts w:ascii="Calibri" w:eastAsia="Times New Roman" w:hAnsi="Calibri" w:cs="Calibri"/>
          <w:lang w:eastAsia="zh-CN"/>
        </w:rPr>
        <w:t>17. sjednici održanoj 24. ožujka 2025. godine</w:t>
      </w:r>
      <w:r w:rsidR="001954FC">
        <w:rPr>
          <w:rFonts w:ascii="Calibri" w:eastAsia="Times New Roman" w:hAnsi="Calibri" w:cs="Calibri"/>
          <w:lang w:eastAsia="zh-CN"/>
        </w:rPr>
        <w:t xml:space="preserve"> (Odluka</w:t>
      </w:r>
      <w:r w:rsidR="00CC2247">
        <w:rPr>
          <w:rFonts w:ascii="Calibri" w:eastAsia="Times New Roman" w:hAnsi="Calibri" w:cs="Calibri"/>
          <w:lang w:eastAsia="zh-CN"/>
        </w:rPr>
        <w:t>,</w:t>
      </w:r>
      <w:r w:rsidR="001954FC">
        <w:rPr>
          <w:rFonts w:ascii="Calibri" w:eastAsia="Times New Roman" w:hAnsi="Calibri" w:cs="Calibri"/>
          <w:lang w:eastAsia="zh-CN"/>
        </w:rPr>
        <w:t xml:space="preserve"> </w:t>
      </w:r>
      <w:r w:rsidR="004248C9" w:rsidRPr="004248C9">
        <w:rPr>
          <w:rFonts w:ascii="Calibri" w:eastAsia="Times New Roman" w:hAnsi="Calibri" w:cs="Calibri"/>
          <w:lang w:eastAsia="zh-CN"/>
        </w:rPr>
        <w:t>KLASA: 250-1</w:t>
      </w:r>
      <w:r w:rsidR="001954FC">
        <w:rPr>
          <w:rFonts w:ascii="Calibri" w:eastAsia="Times New Roman" w:hAnsi="Calibri" w:cs="Calibri"/>
          <w:lang w:eastAsia="zh-CN"/>
        </w:rPr>
        <w:t>2</w:t>
      </w:r>
      <w:r w:rsidR="004248C9" w:rsidRPr="004248C9">
        <w:rPr>
          <w:rFonts w:ascii="Calibri" w:eastAsia="Times New Roman" w:hAnsi="Calibri" w:cs="Calibri"/>
          <w:lang w:eastAsia="zh-CN"/>
        </w:rPr>
        <w:t>/2</w:t>
      </w:r>
      <w:r w:rsidR="001954FC">
        <w:rPr>
          <w:rFonts w:ascii="Calibri" w:eastAsia="Times New Roman" w:hAnsi="Calibri" w:cs="Calibri"/>
          <w:lang w:eastAsia="zh-CN"/>
        </w:rPr>
        <w:t>5</w:t>
      </w:r>
      <w:r w:rsidR="004248C9" w:rsidRPr="004248C9">
        <w:rPr>
          <w:rFonts w:ascii="Calibri" w:eastAsia="Times New Roman" w:hAnsi="Calibri" w:cs="Calibri"/>
          <w:lang w:eastAsia="zh-CN"/>
        </w:rPr>
        <w:t>-0</w:t>
      </w:r>
      <w:r w:rsidR="001954FC">
        <w:rPr>
          <w:rFonts w:ascii="Calibri" w:eastAsia="Times New Roman" w:hAnsi="Calibri" w:cs="Calibri"/>
          <w:lang w:eastAsia="zh-CN"/>
        </w:rPr>
        <w:t>2</w:t>
      </w:r>
      <w:r w:rsidR="004248C9" w:rsidRPr="004248C9">
        <w:rPr>
          <w:rFonts w:ascii="Calibri" w:eastAsia="Times New Roman" w:hAnsi="Calibri" w:cs="Calibri"/>
          <w:lang w:eastAsia="zh-CN"/>
        </w:rPr>
        <w:t>/0</w:t>
      </w:r>
      <w:r w:rsidR="001954FC">
        <w:rPr>
          <w:rFonts w:ascii="Calibri" w:eastAsia="Times New Roman" w:hAnsi="Calibri" w:cs="Calibri"/>
          <w:lang w:eastAsia="zh-CN"/>
        </w:rPr>
        <w:t>6</w:t>
      </w:r>
      <w:r w:rsidR="004248C9" w:rsidRPr="004248C9">
        <w:rPr>
          <w:rFonts w:ascii="Calibri" w:eastAsia="Times New Roman" w:hAnsi="Calibri" w:cs="Calibri"/>
          <w:lang w:eastAsia="zh-CN"/>
        </w:rPr>
        <w:t>, URBROJ: 2177-1-26-01-25-</w:t>
      </w:r>
      <w:r w:rsidR="00CC2247">
        <w:rPr>
          <w:rFonts w:ascii="Calibri" w:eastAsia="Times New Roman" w:hAnsi="Calibri" w:cs="Calibri"/>
          <w:lang w:eastAsia="zh-CN"/>
        </w:rPr>
        <w:t>2</w:t>
      </w:r>
      <w:r w:rsidR="004248C9" w:rsidRPr="004248C9">
        <w:rPr>
          <w:rFonts w:ascii="Calibri" w:eastAsia="Times New Roman" w:hAnsi="Calibri" w:cs="Calibri"/>
          <w:lang w:eastAsia="zh-CN"/>
        </w:rPr>
        <w:t>)</w:t>
      </w:r>
      <w:r w:rsidR="00441EE5">
        <w:t xml:space="preserve">. Ovom izmjenom i dopunom financijskog plana, planirana su sredstva </w:t>
      </w:r>
      <w:r w:rsidR="00504060" w:rsidRPr="00504060">
        <w:t xml:space="preserve">u iznosu </w:t>
      </w:r>
      <w:r w:rsidR="00CC7C6C">
        <w:t xml:space="preserve">od </w:t>
      </w:r>
      <w:r w:rsidRPr="001E1E29">
        <w:rPr>
          <w:rFonts w:ascii="Calibri" w:eastAsia="Times New Roman" w:hAnsi="Calibri" w:cs="Calibri"/>
          <w:lang w:eastAsia="zh-CN"/>
        </w:rPr>
        <w:t>917.869,00 €.</w:t>
      </w:r>
      <w:r w:rsidR="00504060" w:rsidRPr="00504060">
        <w:t xml:space="preserve"> Prihodi </w:t>
      </w:r>
      <w:r w:rsidR="00CC7C6C">
        <w:t xml:space="preserve">i rashodi </w:t>
      </w:r>
      <w:r>
        <w:t>ni</w:t>
      </w:r>
      <w:r w:rsidR="00504060" w:rsidRPr="00504060">
        <w:t xml:space="preserve">su </w:t>
      </w:r>
      <w:r>
        <w:t xml:space="preserve">značajno </w:t>
      </w:r>
      <w:r w:rsidR="00504060" w:rsidRPr="00504060">
        <w:t>poveća</w:t>
      </w:r>
      <w:r>
        <w:t>va</w:t>
      </w:r>
      <w:r w:rsidR="00504060" w:rsidRPr="00504060">
        <w:t xml:space="preserve">ni </w:t>
      </w:r>
      <w:r>
        <w:t xml:space="preserve">u odnosu na izvorni plan, osim </w:t>
      </w:r>
      <w:r w:rsidR="00504060" w:rsidRPr="00504060">
        <w:t>na pozicijama plaće za zaposlene</w:t>
      </w:r>
      <w:r>
        <w:t xml:space="preserve"> i</w:t>
      </w:r>
      <w:r w:rsidR="00504060" w:rsidRPr="00504060">
        <w:t xml:space="preserve"> doprinosi</w:t>
      </w:r>
      <w:r w:rsidR="00441EE5">
        <w:t>ma</w:t>
      </w:r>
      <w:r w:rsidR="00504060" w:rsidRPr="00504060">
        <w:t xml:space="preserve"> za obvezno zdravstveno osiguranje te uvršt</w:t>
      </w:r>
      <w:r w:rsidR="00441EE5">
        <w:t>ava</w:t>
      </w:r>
      <w:r w:rsidR="00504060" w:rsidRPr="00504060">
        <w:t>njem rezultata iz prethodne godine.</w:t>
      </w:r>
    </w:p>
    <w:p w14:paraId="0BBAD0F4" w14:textId="63A8D161" w:rsidR="00504060" w:rsidRPr="00504060" w:rsidRDefault="00504060" w:rsidP="00CD579A">
      <w:pPr>
        <w:pStyle w:val="Bezproreda"/>
        <w:ind w:firstLine="708"/>
        <w:jc w:val="both"/>
      </w:pPr>
      <w:r w:rsidRPr="00504060">
        <w:t xml:space="preserve">II. </w:t>
      </w:r>
      <w:r w:rsidR="00441EE5">
        <w:t>I</w:t>
      </w:r>
      <w:r w:rsidRPr="00504060">
        <w:t>zmjen</w:t>
      </w:r>
      <w:r w:rsidR="00441EE5">
        <w:t>u</w:t>
      </w:r>
      <w:r w:rsidRPr="00504060">
        <w:t xml:space="preserve"> i dopun</w:t>
      </w:r>
      <w:r w:rsidR="00441EE5">
        <w:t>u</w:t>
      </w:r>
      <w:r w:rsidRPr="00504060">
        <w:t xml:space="preserve"> </w:t>
      </w:r>
      <w:r w:rsidR="00441EE5">
        <w:t>f</w:t>
      </w:r>
      <w:r w:rsidRPr="00504060">
        <w:t>inancijskog plana Javne vatrogasne postrojbe Grada Požege za 202</w:t>
      </w:r>
      <w:r w:rsidR="001E1E29">
        <w:t>5</w:t>
      </w:r>
      <w:r w:rsidRPr="00504060">
        <w:t xml:space="preserve">. godinu usvojilo je Vatrogasno vijeće Javne vatrogasne postrojbe Grada Požege na </w:t>
      </w:r>
      <w:r w:rsidR="00441EE5">
        <w:t xml:space="preserve">svojoj </w:t>
      </w:r>
      <w:r w:rsidRPr="00504060">
        <w:t>1</w:t>
      </w:r>
      <w:r w:rsidR="001E1E29">
        <w:t>9</w:t>
      </w:r>
      <w:r w:rsidRPr="00504060">
        <w:t>. sjednici</w:t>
      </w:r>
      <w:r w:rsidR="00441EE5">
        <w:t xml:space="preserve"> održanoj 16. srpnja 2025. godine</w:t>
      </w:r>
      <w:r w:rsidRPr="00504060">
        <w:t xml:space="preserve"> (</w:t>
      </w:r>
      <w:r w:rsidR="00441EE5">
        <w:t>Odluk</w:t>
      </w:r>
      <w:r w:rsidR="00CC2247">
        <w:t>a,</w:t>
      </w:r>
      <w:r w:rsidR="00441EE5">
        <w:t xml:space="preserve"> </w:t>
      </w:r>
      <w:r w:rsidRPr="00504060">
        <w:t xml:space="preserve">KLASA:250-14/24-01/02,URBROJ: 2177-1-26-01-24-5). </w:t>
      </w:r>
      <w:r w:rsidR="00CC2247">
        <w:t xml:space="preserve">Ovom izmjenom i dopunom financijskog plana, planirana su sredstva u iznosu </w:t>
      </w:r>
      <w:r w:rsidR="00CC7C6C">
        <w:t xml:space="preserve">od </w:t>
      </w:r>
      <w:r w:rsidR="00CC2247">
        <w:t xml:space="preserve">1.021.469,00 </w:t>
      </w:r>
      <w:r w:rsidR="00CC2247">
        <w:rPr>
          <w:rFonts w:cstheme="minorHAnsi"/>
        </w:rPr>
        <w:t>€</w:t>
      </w:r>
      <w:r w:rsidR="00CC2247">
        <w:t xml:space="preserve">. </w:t>
      </w:r>
      <w:r w:rsidRPr="00504060">
        <w:t>Prihodi</w:t>
      </w:r>
      <w:r w:rsidR="00CC2247">
        <w:t xml:space="preserve"> i rashodi</w:t>
      </w:r>
      <w:r w:rsidRPr="00504060">
        <w:t xml:space="preserve"> su povećani na pozicijama </w:t>
      </w:r>
      <w:r w:rsidR="00CC2247">
        <w:t>za plaće i doprinose</w:t>
      </w:r>
      <w:r w:rsidRPr="00504060">
        <w:t xml:space="preserve"> za zaposlene</w:t>
      </w:r>
      <w:r w:rsidR="00CC2247">
        <w:t xml:space="preserve">, sukladno izmjenama </w:t>
      </w:r>
      <w:r w:rsidR="00CC2247" w:rsidRPr="00CC2247">
        <w:t>Zakon</w:t>
      </w:r>
      <w:r w:rsidR="00CC2247">
        <w:t>a</w:t>
      </w:r>
      <w:r w:rsidR="00CC2247" w:rsidRPr="00CC2247">
        <w:t xml:space="preserve"> o plaćama u državnoj službi i javnim službama</w:t>
      </w:r>
      <w:r w:rsidR="00CC2247">
        <w:t xml:space="preserve"> (NN 155/23</w:t>
      </w:r>
      <w:r w:rsidR="004726A0">
        <w:t>), kojim je predviđeno kontinuirano povećanje plaće kroz nekoliko godina prateći inflaciju i standard građana.</w:t>
      </w:r>
    </w:p>
    <w:p w14:paraId="18EED95D" w14:textId="0FC1E5D1" w:rsidR="00504060" w:rsidRPr="00504060" w:rsidRDefault="001E1E29" w:rsidP="00CD579A">
      <w:pPr>
        <w:pStyle w:val="Bezproreda"/>
        <w:ind w:firstLine="360"/>
        <w:jc w:val="both"/>
      </w:pPr>
      <w:r>
        <w:t xml:space="preserve">     </w:t>
      </w:r>
      <w:r w:rsidR="00504060" w:rsidRPr="00504060">
        <w:t>III.  Izmjen</w:t>
      </w:r>
      <w:r w:rsidR="004726A0">
        <w:t>u</w:t>
      </w:r>
      <w:r w:rsidR="00504060" w:rsidRPr="00504060">
        <w:t xml:space="preserve"> i dopun</w:t>
      </w:r>
      <w:r w:rsidR="004726A0">
        <w:t>u</w:t>
      </w:r>
      <w:r w:rsidR="00504060" w:rsidRPr="00504060">
        <w:t xml:space="preserve"> </w:t>
      </w:r>
      <w:r w:rsidR="004726A0">
        <w:t>f</w:t>
      </w:r>
      <w:r w:rsidR="00504060" w:rsidRPr="00504060">
        <w:t>inancijskog plana Javne vatrogasne postrojbe Grada Požege za 202</w:t>
      </w:r>
      <w:r w:rsidR="004726A0">
        <w:t>5</w:t>
      </w:r>
      <w:r w:rsidR="00504060" w:rsidRPr="00504060">
        <w:t>. godinu usvojilo je Vatrogasno vijeće Javne vatrogasne postrojbe Grada Požege na</w:t>
      </w:r>
      <w:r w:rsidR="004726A0">
        <w:t xml:space="preserve"> svojoj</w:t>
      </w:r>
      <w:r w:rsidR="00504060" w:rsidRPr="00504060">
        <w:t xml:space="preserve"> </w:t>
      </w:r>
      <w:r w:rsidR="004726A0">
        <w:t>22</w:t>
      </w:r>
      <w:r w:rsidR="00504060" w:rsidRPr="00504060">
        <w:t>. sjednici</w:t>
      </w:r>
      <w:r w:rsidR="004726A0">
        <w:t xml:space="preserve"> održanoj 16. prosinca 2025. godine</w:t>
      </w:r>
      <w:r w:rsidR="00504060" w:rsidRPr="00504060">
        <w:t xml:space="preserve"> (</w:t>
      </w:r>
      <w:r w:rsidR="00CC7C6C">
        <w:t xml:space="preserve">Odluka, </w:t>
      </w:r>
      <w:r w:rsidR="00504060" w:rsidRPr="00504060">
        <w:t>KLASA:250-1</w:t>
      </w:r>
      <w:r w:rsidR="00CC7C6C">
        <w:t>2</w:t>
      </w:r>
      <w:r w:rsidR="00504060" w:rsidRPr="00504060">
        <w:t>/2</w:t>
      </w:r>
      <w:r w:rsidR="00CC7C6C">
        <w:t>5</w:t>
      </w:r>
      <w:r w:rsidR="00504060" w:rsidRPr="00504060">
        <w:t>-0</w:t>
      </w:r>
      <w:r w:rsidR="00CC7C6C">
        <w:t>2</w:t>
      </w:r>
      <w:r w:rsidR="00504060" w:rsidRPr="00504060">
        <w:t>/0</w:t>
      </w:r>
      <w:r w:rsidR="00CC7C6C">
        <w:t>6</w:t>
      </w:r>
      <w:r w:rsidR="00504060" w:rsidRPr="00504060">
        <w:t>,URBROJ: 2177-1-26-01-2</w:t>
      </w:r>
      <w:r w:rsidR="00CC7C6C">
        <w:t>5</w:t>
      </w:r>
      <w:r w:rsidR="00504060" w:rsidRPr="00504060">
        <w:t>-</w:t>
      </w:r>
      <w:r w:rsidR="00CC7C6C">
        <w:t>3</w:t>
      </w:r>
      <w:r w:rsidR="00504060" w:rsidRPr="00504060">
        <w:t>).</w:t>
      </w:r>
      <w:r w:rsidR="00CC7C6C">
        <w:t xml:space="preserve"> Ovom izmjenom i dopunom financijskog plana, planirana su sredstva u iznosu od 1.059.572,00 </w:t>
      </w:r>
      <w:r w:rsidR="00CC7C6C">
        <w:rPr>
          <w:rFonts w:cstheme="minorHAnsi"/>
        </w:rPr>
        <w:t>€</w:t>
      </w:r>
      <w:r w:rsidR="00CC7C6C">
        <w:t>. Prihodi i rashodi su uvećani na vlastitim prihodima ostvarenim od pruženih usluga</w:t>
      </w:r>
      <w:r w:rsidR="006710ED">
        <w:t>, zbog većeg ostvarenog rezultata u odnosu na planirani te na materijalnim troškovima za troškove vatrogasnih intervencija.</w:t>
      </w:r>
    </w:p>
    <w:p w14:paraId="0C26BE62" w14:textId="75EA1054" w:rsidR="00504060" w:rsidRPr="00504060" w:rsidRDefault="00504060" w:rsidP="00823755">
      <w:pPr>
        <w:pStyle w:val="Bezproreda"/>
        <w:ind w:firstLine="360"/>
      </w:pPr>
      <w:r w:rsidRPr="00504060">
        <w:t xml:space="preserve"> </w:t>
      </w:r>
    </w:p>
    <w:p w14:paraId="45627105" w14:textId="77777777" w:rsidR="00504060" w:rsidRPr="001E0BAB" w:rsidRDefault="00504060" w:rsidP="00504060">
      <w:pPr>
        <w:pStyle w:val="Bezproreda"/>
        <w:numPr>
          <w:ilvl w:val="1"/>
          <w:numId w:val="5"/>
        </w:numPr>
      </w:pPr>
      <w:r w:rsidRPr="001E0BAB">
        <w:t>OPĆI DIO</w:t>
      </w:r>
    </w:p>
    <w:p w14:paraId="6C96A83A" w14:textId="77777777" w:rsidR="00504060" w:rsidRPr="00504060" w:rsidRDefault="00504060" w:rsidP="00504060">
      <w:pPr>
        <w:pStyle w:val="Bezproreda"/>
      </w:pPr>
    </w:p>
    <w:p w14:paraId="6AC0A9FC" w14:textId="77777777" w:rsidR="00504060" w:rsidRPr="00504060" w:rsidRDefault="00504060" w:rsidP="00504060">
      <w:pPr>
        <w:pStyle w:val="Bezproreda"/>
        <w:ind w:left="705"/>
      </w:pPr>
      <w:r w:rsidRPr="00504060">
        <w:t>Opći dio sadrži:</w:t>
      </w:r>
    </w:p>
    <w:p w14:paraId="7C461E8E" w14:textId="5352449E" w:rsidR="00504060" w:rsidRPr="00504060" w:rsidRDefault="00B8201E" w:rsidP="00504060">
      <w:pPr>
        <w:pStyle w:val="Bezproreda"/>
        <w:numPr>
          <w:ilvl w:val="0"/>
          <w:numId w:val="3"/>
        </w:numPr>
      </w:pPr>
      <w:r w:rsidRPr="00504060">
        <w:t>S</w:t>
      </w:r>
      <w:r w:rsidR="00504060" w:rsidRPr="00504060">
        <w:t>ažetak</w:t>
      </w:r>
      <w:r>
        <w:t xml:space="preserve"> </w:t>
      </w:r>
      <w:r w:rsidR="00504060" w:rsidRPr="00504060">
        <w:t xml:space="preserve">Računa prihoda i rashoda </w:t>
      </w:r>
      <w:r>
        <w:t>te</w:t>
      </w:r>
      <w:r w:rsidR="00504060" w:rsidRPr="00504060">
        <w:t xml:space="preserve"> Račun financiranja.</w:t>
      </w:r>
    </w:p>
    <w:p w14:paraId="290F3103" w14:textId="6916178B" w:rsidR="00504060" w:rsidRPr="00504060" w:rsidRDefault="00504060" w:rsidP="00504060">
      <w:pPr>
        <w:pStyle w:val="Bezproreda"/>
        <w:numPr>
          <w:ilvl w:val="0"/>
          <w:numId w:val="3"/>
        </w:numPr>
      </w:pPr>
      <w:r w:rsidRPr="00504060">
        <w:t>Račun prihoda i rashoda – prihodi i rashodi se iskazuju prema ekonomskoj klasifikaciji, prema izvorima financiranja i prema funkcijskoj klasifikaciji.</w:t>
      </w:r>
    </w:p>
    <w:p w14:paraId="46D80AA5" w14:textId="73B3AC2E" w:rsidR="00504060" w:rsidRPr="00504060" w:rsidRDefault="00504060" w:rsidP="00504060">
      <w:pPr>
        <w:pStyle w:val="Bezproreda"/>
        <w:numPr>
          <w:ilvl w:val="0"/>
          <w:numId w:val="3"/>
        </w:numPr>
      </w:pPr>
      <w:r w:rsidRPr="00504060">
        <w:t>Račun financiranja – primci i izdaci se iskazuju prema ekonomskoj klasifikaciji i prema izvorima financiranja.</w:t>
      </w:r>
    </w:p>
    <w:p w14:paraId="691D2B83" w14:textId="77777777" w:rsidR="00504060" w:rsidRPr="00504060" w:rsidRDefault="00504060" w:rsidP="00504060">
      <w:pPr>
        <w:pStyle w:val="Bezproreda"/>
      </w:pPr>
    </w:p>
    <w:p w14:paraId="1F1B3D0C" w14:textId="77777777" w:rsidR="00504060" w:rsidRPr="00504060" w:rsidRDefault="00504060" w:rsidP="00504060">
      <w:pPr>
        <w:pStyle w:val="Bezproreda"/>
      </w:pPr>
    </w:p>
    <w:p w14:paraId="7301C3E2" w14:textId="77777777" w:rsidR="00504060" w:rsidRPr="00504060" w:rsidRDefault="00504060" w:rsidP="00504060">
      <w:pPr>
        <w:pStyle w:val="Bezproreda"/>
      </w:pPr>
    </w:p>
    <w:p w14:paraId="25C49CBB" w14:textId="77777777" w:rsidR="00504060" w:rsidRPr="00504060" w:rsidRDefault="00504060" w:rsidP="00504060">
      <w:pPr>
        <w:pStyle w:val="Bezproreda"/>
      </w:pPr>
    </w:p>
    <w:p w14:paraId="02BD6D81" w14:textId="77777777" w:rsidR="00504060" w:rsidRPr="00504060" w:rsidRDefault="00504060" w:rsidP="00504060">
      <w:pPr>
        <w:pStyle w:val="Bezproreda"/>
      </w:pPr>
    </w:p>
    <w:p w14:paraId="381EB0DA" w14:textId="77777777" w:rsidR="00504060" w:rsidRPr="00504060" w:rsidRDefault="00504060" w:rsidP="00504060">
      <w:pPr>
        <w:pStyle w:val="Bezproreda"/>
      </w:pPr>
    </w:p>
    <w:p w14:paraId="0C735D83" w14:textId="5CEC9BB3" w:rsidR="00504060" w:rsidRPr="00504060" w:rsidRDefault="00504060" w:rsidP="006D5643">
      <w:pPr>
        <w:tabs>
          <w:tab w:val="left" w:pos="567"/>
          <w:tab w:val="left" w:pos="709"/>
        </w:tabs>
        <w:jc w:val="both"/>
        <w:rPr>
          <w:bCs/>
        </w:rPr>
      </w:pPr>
      <w:r w:rsidRPr="00504060">
        <w:t xml:space="preserve">2.2.1 </w:t>
      </w:r>
      <w:r w:rsidR="006D5643">
        <w:t xml:space="preserve">    </w:t>
      </w:r>
      <w:r w:rsidRPr="00504060">
        <w:rPr>
          <w:bCs/>
        </w:rPr>
        <w:t xml:space="preserve">SAŽETAK RAČUNA PRIHODA I RASHODA, PRIMITAKA I IZDATAKA </w:t>
      </w:r>
      <w:r w:rsidR="00B8201E">
        <w:rPr>
          <w:bCs/>
        </w:rPr>
        <w:t>TE</w:t>
      </w:r>
      <w:r w:rsidRPr="00504060">
        <w:rPr>
          <w:bCs/>
        </w:rPr>
        <w:t xml:space="preserve"> RAČUN FINANCIRANJA</w:t>
      </w:r>
    </w:p>
    <w:p w14:paraId="40D72B8E" w14:textId="01EF3084" w:rsidR="00504060" w:rsidRPr="00504060" w:rsidRDefault="00504060" w:rsidP="00CD579A">
      <w:pPr>
        <w:pStyle w:val="Bezproreda"/>
        <w:ind w:firstLine="708"/>
        <w:jc w:val="both"/>
      </w:pPr>
      <w:r w:rsidRPr="00504060">
        <w:t xml:space="preserve">Sažetak Računa prihoda i rashoda </w:t>
      </w:r>
      <w:r w:rsidR="00B8201E">
        <w:t>te</w:t>
      </w:r>
      <w:r w:rsidRPr="00504060">
        <w:t xml:space="preserve"> Računa financiranja sadrži prikaz ukupno</w:t>
      </w:r>
    </w:p>
    <w:p w14:paraId="19AEAC92" w14:textId="77777777" w:rsidR="00504060" w:rsidRPr="00504060" w:rsidRDefault="00504060" w:rsidP="00CD579A">
      <w:pPr>
        <w:jc w:val="both"/>
        <w:rPr>
          <w:bCs/>
        </w:rPr>
      </w:pPr>
      <w:r w:rsidRPr="00504060">
        <w:t xml:space="preserve">ostvarenih prihoda i primitaka, ostvarenih rashoda  i izdataka na razini razreda ekonomske klasifikacije, </w:t>
      </w:r>
      <w:r w:rsidRPr="00504060">
        <w:rPr>
          <w:bCs/>
        </w:rPr>
        <w:t>prema izvorima financiranja, prema funkcijskoj klasifikaciji kao i višak/manjak</w:t>
      </w:r>
      <w:r w:rsidRPr="00504060">
        <w:rPr>
          <w:bCs/>
          <w:color w:val="FF0000"/>
        </w:rPr>
        <w:t xml:space="preserve"> </w:t>
      </w:r>
      <w:r w:rsidRPr="00504060">
        <w:rPr>
          <w:bCs/>
        </w:rPr>
        <w:t>sredstava koji se prenose u sljedeću godinu.</w:t>
      </w:r>
    </w:p>
    <w:p w14:paraId="5D1F298A" w14:textId="77777777" w:rsidR="00504060" w:rsidRPr="00504060" w:rsidRDefault="00504060" w:rsidP="00504060">
      <w:pPr>
        <w:pStyle w:val="Bezproreda"/>
      </w:pPr>
    </w:p>
    <w:p w14:paraId="0F897E6F" w14:textId="30C80AE6" w:rsidR="00504060" w:rsidRPr="00504060" w:rsidRDefault="00504060" w:rsidP="00504060">
      <w:pPr>
        <w:pStyle w:val="Bezproreda"/>
      </w:pPr>
      <w:r w:rsidRPr="00504060">
        <w:t xml:space="preserve">2.2.2.    RAČUN PRIHODA I RASHODA – PRIHODI I RASHODI PREMA  EKONOMSKOJ KLASIFIKACIJI </w:t>
      </w:r>
    </w:p>
    <w:p w14:paraId="28C41FFF" w14:textId="77777777" w:rsidR="00504060" w:rsidRPr="00504060" w:rsidRDefault="00504060" w:rsidP="00504060">
      <w:pPr>
        <w:pStyle w:val="Bezproreda"/>
      </w:pPr>
    </w:p>
    <w:p w14:paraId="070C51E8" w14:textId="4A4F34CF" w:rsidR="00504060" w:rsidRPr="00504060" w:rsidRDefault="00504060" w:rsidP="00504060">
      <w:pPr>
        <w:pStyle w:val="Bezproreda"/>
        <w:ind w:firstLine="708"/>
      </w:pPr>
      <w:r w:rsidRPr="00162EFE">
        <w:rPr>
          <w:u w:val="single"/>
        </w:rPr>
        <w:t>Prihodi poslovanja</w:t>
      </w:r>
      <w:r w:rsidRPr="00504060">
        <w:t xml:space="preserve"> ostvareni tijekom izvještajnog razdoblja iznose </w:t>
      </w:r>
      <w:r w:rsidR="006D5643">
        <w:rPr>
          <w:color w:val="000000"/>
        </w:rPr>
        <w:t>944</w:t>
      </w:r>
      <w:r w:rsidRPr="00504060">
        <w:rPr>
          <w:color w:val="000000"/>
        </w:rPr>
        <w:t>.</w:t>
      </w:r>
      <w:r w:rsidR="006D5643">
        <w:rPr>
          <w:color w:val="000000"/>
        </w:rPr>
        <w:t>903</w:t>
      </w:r>
      <w:r w:rsidR="001E0BAB">
        <w:rPr>
          <w:color w:val="000000"/>
        </w:rPr>
        <w:t>,00</w:t>
      </w:r>
      <w:r w:rsidR="006D5643">
        <w:rPr>
          <w:color w:val="000000"/>
        </w:rPr>
        <w:t xml:space="preserve"> </w:t>
      </w:r>
      <w:r w:rsidR="006D5643">
        <w:rPr>
          <w:rFonts w:cstheme="minorHAnsi"/>
          <w:color w:val="000000"/>
        </w:rPr>
        <w:t>€</w:t>
      </w:r>
      <w:r w:rsidR="006D5643">
        <w:rPr>
          <w:color w:val="000000"/>
        </w:rPr>
        <w:t>,</w:t>
      </w:r>
      <w:r w:rsidRPr="00504060">
        <w:t xml:space="preserve"> što čini  </w:t>
      </w:r>
      <w:r w:rsidR="001E0BAB">
        <w:t>89</w:t>
      </w:r>
      <w:r w:rsidRPr="00504060">
        <w:t>,</w:t>
      </w:r>
      <w:r w:rsidR="001E0BAB">
        <w:t>1</w:t>
      </w:r>
      <w:r w:rsidR="006D5643">
        <w:t xml:space="preserve">8 </w:t>
      </w:r>
      <w:r w:rsidRPr="00504060">
        <w:t>% od plana</w:t>
      </w:r>
      <w:r w:rsidR="001E0BAB">
        <w:t>, a</w:t>
      </w:r>
      <w:r w:rsidRPr="00504060">
        <w:t xml:space="preserve"> </w:t>
      </w:r>
      <w:r w:rsidR="001E0BAB">
        <w:t>u</w:t>
      </w:r>
      <w:r w:rsidRPr="00504060">
        <w:t xml:space="preserve"> odnosu na isto razdoblje </w:t>
      </w:r>
      <w:r w:rsidR="001E0BAB">
        <w:t xml:space="preserve">iz </w:t>
      </w:r>
      <w:r w:rsidRPr="00504060">
        <w:t>202</w:t>
      </w:r>
      <w:r w:rsidR="006D5643">
        <w:t>4</w:t>
      </w:r>
      <w:r w:rsidRPr="00504060">
        <w:t>. godine ostvareni su prihodi veći za 1</w:t>
      </w:r>
      <w:r w:rsidR="001E0BAB">
        <w:t>87</w:t>
      </w:r>
      <w:r w:rsidRPr="00504060">
        <w:t>.</w:t>
      </w:r>
      <w:r w:rsidR="001E0BAB">
        <w:t>682</w:t>
      </w:r>
      <w:r w:rsidRPr="00504060">
        <w:t>,</w:t>
      </w:r>
      <w:r w:rsidR="001E0BAB">
        <w:t>34</w:t>
      </w:r>
      <w:r w:rsidRPr="00504060">
        <w:t xml:space="preserve"> </w:t>
      </w:r>
      <w:r w:rsidR="006D5643">
        <w:rPr>
          <w:rFonts w:cstheme="minorHAnsi"/>
        </w:rPr>
        <w:t>€</w:t>
      </w:r>
      <w:r w:rsidRPr="00504060">
        <w:t xml:space="preserve"> ili </w:t>
      </w:r>
      <w:r w:rsidR="0020532C">
        <w:t>19</w:t>
      </w:r>
      <w:r w:rsidRPr="00504060">
        <w:t xml:space="preserve">,86 %. </w:t>
      </w:r>
    </w:p>
    <w:p w14:paraId="7EAEE3B4" w14:textId="77777777" w:rsidR="00504060" w:rsidRPr="00504060" w:rsidRDefault="00504060" w:rsidP="00504060">
      <w:pPr>
        <w:shd w:val="clear" w:color="auto" w:fill="FFFFFF"/>
        <w:jc w:val="both"/>
      </w:pPr>
    </w:p>
    <w:p w14:paraId="166279F6" w14:textId="77777777" w:rsidR="00504060" w:rsidRDefault="00504060" w:rsidP="00504060">
      <w:pPr>
        <w:shd w:val="clear" w:color="auto" w:fill="FFFFFF"/>
        <w:ind w:firstLine="708"/>
        <w:jc w:val="both"/>
      </w:pPr>
      <w:r w:rsidRPr="00162EFE">
        <w:rPr>
          <w:u w:val="single"/>
        </w:rPr>
        <w:t>Prihodi od prodaje nefinancijske imovine</w:t>
      </w:r>
      <w:r w:rsidRPr="00FF2D8E">
        <w:t xml:space="preserve"> nisu ostvareni u izvještajnom razdoblju.</w:t>
      </w:r>
    </w:p>
    <w:p w14:paraId="49021320" w14:textId="77777777" w:rsidR="00162EFE" w:rsidRPr="00FF2D8E" w:rsidRDefault="00162EFE" w:rsidP="00504060">
      <w:pPr>
        <w:shd w:val="clear" w:color="auto" w:fill="FFFFFF"/>
        <w:ind w:firstLine="708"/>
        <w:jc w:val="both"/>
      </w:pPr>
    </w:p>
    <w:p w14:paraId="5A6C7D07" w14:textId="6FA48D49" w:rsidR="00504060" w:rsidRPr="00504060" w:rsidRDefault="00504060" w:rsidP="00504060">
      <w:pPr>
        <w:pStyle w:val="Bezproreda"/>
      </w:pPr>
      <w:r w:rsidRPr="00FF2D8E">
        <w:tab/>
        <w:t>Pregled ostvarenih prihoda poslovanja i prihoda nefinancijske imovine naveden je u sljedećoj tablici:</w:t>
      </w:r>
    </w:p>
    <w:tbl>
      <w:tblPr>
        <w:tblW w:w="905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418"/>
        <w:gridCol w:w="1271"/>
        <w:gridCol w:w="991"/>
        <w:gridCol w:w="844"/>
      </w:tblGrid>
      <w:tr w:rsidR="00504060" w:rsidRPr="00504060" w14:paraId="7208EBDC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5A66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SKUPINA KONTA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C143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NAZIV KONTA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08C0" w14:textId="597AC030" w:rsidR="00504060" w:rsidRPr="00504060" w:rsidRDefault="00CF1225" w:rsidP="00792ABE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IZVRŠENJE</w:t>
            </w:r>
            <w:r w:rsidR="00504060" w:rsidRPr="00504060">
              <w:rPr>
                <w:i/>
              </w:rPr>
              <w:t xml:space="preserve"> 202</w:t>
            </w:r>
            <w:r>
              <w:rPr>
                <w:i/>
              </w:rPr>
              <w:t>4</w:t>
            </w:r>
            <w:r w:rsidR="00504060" w:rsidRPr="00504060">
              <w:rPr>
                <w:i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6652" w14:textId="72B5608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REBALANS 202</w:t>
            </w:r>
            <w:r w:rsidR="00CF1225">
              <w:rPr>
                <w:i/>
              </w:rPr>
              <w:t>5</w:t>
            </w:r>
            <w:r w:rsidRPr="00504060">
              <w:rPr>
                <w:i/>
              </w:rPr>
              <w:t xml:space="preserve">.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36F4" w14:textId="629FF3A8" w:rsidR="00504060" w:rsidRPr="00504060" w:rsidRDefault="00504060" w:rsidP="00792ABE">
            <w:pPr>
              <w:shd w:val="clear" w:color="auto" w:fill="FFFFFF"/>
              <w:jc w:val="center"/>
              <w:rPr>
                <w:rFonts w:eastAsia="Times New Roman"/>
                <w:i/>
              </w:rPr>
            </w:pPr>
            <w:r w:rsidRPr="00504060">
              <w:rPr>
                <w:i/>
              </w:rPr>
              <w:t>IZVRŠENJE 202</w:t>
            </w:r>
            <w:r w:rsidR="00CF1225">
              <w:rPr>
                <w:i/>
              </w:rPr>
              <w:t>5</w:t>
            </w:r>
            <w:r w:rsidRPr="00504060">
              <w:rPr>
                <w:i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CFC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INDEX</w:t>
            </w:r>
          </w:p>
          <w:p w14:paraId="7A1E37D1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(5/3*</w:t>
            </w:r>
          </w:p>
          <w:p w14:paraId="74503692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100)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3BD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INDEX</w:t>
            </w:r>
          </w:p>
          <w:p w14:paraId="79ACB782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(5/4* 100)</w:t>
            </w:r>
          </w:p>
        </w:tc>
      </w:tr>
      <w:tr w:rsidR="00504060" w:rsidRPr="00504060" w14:paraId="59E2181C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5E04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AC79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2CF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2BC4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5FA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0065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B7D" w14:textId="77777777" w:rsidR="00504060" w:rsidRPr="00504060" w:rsidRDefault="00504060" w:rsidP="00792ABE">
            <w:pPr>
              <w:shd w:val="clear" w:color="auto" w:fill="FFFFFF"/>
              <w:jc w:val="center"/>
            </w:pPr>
            <w:r w:rsidRPr="00504060">
              <w:t>7</w:t>
            </w:r>
          </w:p>
        </w:tc>
      </w:tr>
      <w:tr w:rsidR="00504060" w:rsidRPr="00504060" w14:paraId="62C1791C" w14:textId="77777777" w:rsidTr="00823755">
        <w:trPr>
          <w:trHeight w:val="28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D1DF" w14:textId="77777777" w:rsidR="00504060" w:rsidRPr="00504060" w:rsidRDefault="00504060" w:rsidP="00792ABE">
            <w:pPr>
              <w:shd w:val="clear" w:color="auto" w:fill="FFFFFF"/>
              <w:rPr>
                <w:rFonts w:eastAsia="Times New Roman"/>
                <w:i/>
              </w:rPr>
            </w:pPr>
            <w:r w:rsidRPr="00504060">
              <w:rPr>
                <w:i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0D6" w14:textId="030C3925" w:rsidR="00504060" w:rsidRPr="00504060" w:rsidRDefault="003D732E" w:rsidP="00586032">
            <w:pPr>
              <w:shd w:val="clear" w:color="auto" w:fill="FFFFFF"/>
              <w:jc w:val="right"/>
              <w:rPr>
                <w:iCs/>
              </w:rPr>
            </w:pPr>
            <w:r w:rsidRPr="003D732E">
              <w:rPr>
                <w:iCs/>
              </w:rPr>
              <w:t>757.220,66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3001" w14:textId="6B2F0AE9" w:rsidR="00504060" w:rsidRPr="00504060" w:rsidRDefault="003C00C8" w:rsidP="00586032">
            <w:pPr>
              <w:shd w:val="clear" w:color="auto" w:fill="FFFFFF"/>
              <w:jc w:val="right"/>
              <w:rPr>
                <w:iCs/>
              </w:rPr>
            </w:pPr>
            <w:r>
              <w:rPr>
                <w:iCs/>
              </w:rPr>
              <w:t>1.509</w:t>
            </w:r>
            <w:r w:rsidR="00504060" w:rsidRPr="00504060">
              <w:rPr>
                <w:iCs/>
              </w:rPr>
              <w:t>.</w:t>
            </w:r>
            <w:r>
              <w:rPr>
                <w:iCs/>
              </w:rPr>
              <w:t>572</w:t>
            </w:r>
            <w:r w:rsidR="00504060" w:rsidRPr="00504060">
              <w:rPr>
                <w:iCs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5D2B" w14:textId="68E4BB38" w:rsidR="00504060" w:rsidRPr="00504060" w:rsidRDefault="00823755" w:rsidP="00586032">
            <w:pPr>
              <w:shd w:val="clear" w:color="auto" w:fill="FFFFFF"/>
              <w:jc w:val="righ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944.903,00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2D69" w14:textId="5774EB47" w:rsidR="00504060" w:rsidRPr="00504060" w:rsidRDefault="00DC0D17" w:rsidP="00586032">
            <w:pPr>
              <w:shd w:val="clear" w:color="auto" w:fill="FFFFFF"/>
              <w:jc w:val="right"/>
              <w:rPr>
                <w:iCs/>
              </w:rPr>
            </w:pPr>
            <w:r>
              <w:rPr>
                <w:iCs/>
              </w:rPr>
              <w:t>124,79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97A" w14:textId="0F6E8E12" w:rsidR="00504060" w:rsidRPr="00504060" w:rsidRDefault="00DC0D17" w:rsidP="00586032">
            <w:pPr>
              <w:shd w:val="clear" w:color="auto" w:fill="FFFFFF"/>
              <w:jc w:val="right"/>
              <w:rPr>
                <w:iCs/>
              </w:rPr>
            </w:pPr>
            <w:r>
              <w:rPr>
                <w:iCs/>
              </w:rPr>
              <w:t>62,59</w:t>
            </w:r>
          </w:p>
        </w:tc>
      </w:tr>
      <w:tr w:rsidR="00504060" w:rsidRPr="00504060" w14:paraId="3C127848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256D" w14:textId="77777777" w:rsidR="00504060" w:rsidRPr="00504060" w:rsidRDefault="00504060" w:rsidP="00792ABE">
            <w:pPr>
              <w:shd w:val="clear" w:color="auto" w:fill="FFFFFF"/>
              <w:rPr>
                <w:rFonts w:eastAsia="Times New Roman"/>
              </w:rPr>
            </w:pPr>
            <w:r w:rsidRPr="00504060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2E9" w14:textId="77777777" w:rsidR="00504060" w:rsidRPr="00504060" w:rsidRDefault="00504060" w:rsidP="00792ABE">
            <w:pPr>
              <w:shd w:val="clear" w:color="auto" w:fill="FFFFFF"/>
            </w:pPr>
            <w:r w:rsidRPr="00504060">
              <w:t>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617" w14:textId="3EAC7BA1" w:rsidR="00504060" w:rsidRPr="00504060" w:rsidRDefault="003D732E" w:rsidP="00586032">
            <w:pPr>
              <w:shd w:val="clear" w:color="auto" w:fill="FFFFFF"/>
              <w:jc w:val="right"/>
            </w:pPr>
            <w:r w:rsidRPr="003D732E">
              <w:t>3.630,64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B35" w14:textId="74572152" w:rsidR="00504060" w:rsidRPr="00504060" w:rsidRDefault="00504060" w:rsidP="00586032">
            <w:pPr>
              <w:shd w:val="clear" w:color="auto" w:fill="FFFFFF"/>
              <w:jc w:val="right"/>
            </w:pPr>
            <w:r w:rsidRPr="00504060">
              <w:t>1</w:t>
            </w:r>
            <w:r w:rsidR="003C00C8">
              <w:t>1</w:t>
            </w:r>
            <w:r w:rsidRPr="00504060">
              <w:t>.</w:t>
            </w:r>
            <w:r w:rsidR="003C00C8">
              <w:t>0</w:t>
            </w:r>
            <w:r w:rsidRPr="00504060">
              <w:t>60,00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347B" w14:textId="60B34187" w:rsidR="00504060" w:rsidRPr="00504060" w:rsidRDefault="00F92C1B" w:rsidP="00586032">
            <w:pPr>
              <w:shd w:val="clear" w:color="auto" w:fill="FFFFFF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5.028,85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D51" w14:textId="21EF3A63" w:rsidR="00504060" w:rsidRPr="00504060" w:rsidRDefault="007B1643" w:rsidP="00586032">
            <w:pPr>
              <w:shd w:val="clear" w:color="auto" w:fill="FFFFFF"/>
              <w:jc w:val="right"/>
            </w:pPr>
            <w:r>
              <w:t>138,51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C9B" w14:textId="440BFADF" w:rsidR="00504060" w:rsidRPr="00504060" w:rsidRDefault="007B1643" w:rsidP="00586032">
            <w:pPr>
              <w:shd w:val="clear" w:color="auto" w:fill="FFFFFF"/>
              <w:jc w:val="right"/>
            </w:pPr>
            <w:r>
              <w:t>45,47</w:t>
            </w:r>
          </w:p>
        </w:tc>
      </w:tr>
      <w:tr w:rsidR="00504060" w:rsidRPr="00504060" w14:paraId="7AE92B9F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10F" w14:textId="77777777" w:rsidR="00504060" w:rsidRPr="00504060" w:rsidRDefault="00504060" w:rsidP="00792ABE">
            <w:pPr>
              <w:shd w:val="clear" w:color="auto" w:fill="FFFFFF"/>
            </w:pPr>
            <w:r w:rsidRPr="00504060"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A31" w14:textId="77777777" w:rsidR="00504060" w:rsidRPr="00504060" w:rsidRDefault="00504060" w:rsidP="00792ABE">
            <w:pPr>
              <w:shd w:val="clear" w:color="auto" w:fill="FFFFFF"/>
            </w:pPr>
            <w:r w:rsidRPr="00504060">
              <w:t>Prihodi od upravnih i administrativnih pristojbi po posebnim propisima i naknada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70E" w14:textId="77777777" w:rsidR="00504060" w:rsidRPr="00504060" w:rsidRDefault="00504060" w:rsidP="00586032">
            <w:pPr>
              <w:shd w:val="clear" w:color="auto" w:fill="FFFFFF"/>
              <w:jc w:val="right"/>
            </w:pPr>
            <w:r w:rsidRPr="00504060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1FB" w14:textId="77777777" w:rsidR="00504060" w:rsidRPr="00504060" w:rsidRDefault="00504060" w:rsidP="00586032">
            <w:pPr>
              <w:shd w:val="clear" w:color="auto" w:fill="FFFFFF"/>
              <w:jc w:val="right"/>
            </w:pPr>
            <w:r w:rsidRPr="00504060"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F03" w14:textId="77777777" w:rsidR="00504060" w:rsidRPr="00504060" w:rsidRDefault="00504060" w:rsidP="00586032">
            <w:pPr>
              <w:shd w:val="clear" w:color="auto" w:fill="FFFFFF"/>
              <w:jc w:val="right"/>
            </w:pPr>
            <w:r w:rsidRPr="00504060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BBC" w14:textId="77178ADE" w:rsidR="00504060" w:rsidRPr="00504060" w:rsidRDefault="007B1643" w:rsidP="00586032">
            <w:pPr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D99" w14:textId="0951B21D" w:rsidR="00504060" w:rsidRPr="00504060" w:rsidRDefault="007B1643" w:rsidP="00586032">
            <w:pPr>
              <w:shd w:val="clear" w:color="auto" w:fill="FFFFFF"/>
              <w:jc w:val="right"/>
            </w:pPr>
            <w:r>
              <w:t>0,00</w:t>
            </w:r>
          </w:p>
        </w:tc>
      </w:tr>
      <w:tr w:rsidR="00504060" w:rsidRPr="00504060" w14:paraId="44096598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792E" w14:textId="77777777" w:rsidR="00504060" w:rsidRPr="00504060" w:rsidRDefault="00504060" w:rsidP="00792ABE">
            <w:pPr>
              <w:shd w:val="clear" w:color="auto" w:fill="FFFFFF"/>
              <w:rPr>
                <w:rFonts w:eastAsia="Times New Roman"/>
              </w:rPr>
            </w:pPr>
            <w:r w:rsidRPr="00504060"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D4D2" w14:textId="77777777" w:rsidR="00504060" w:rsidRPr="00504060" w:rsidRDefault="00504060" w:rsidP="00792ABE">
            <w:pPr>
              <w:shd w:val="clear" w:color="auto" w:fill="FFFFFF"/>
            </w:pPr>
            <w:r w:rsidRPr="00504060">
              <w:t>Prihodi od prodaje proizvoda i roba, te pruženih usluga i prihodi od donacija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07A" w14:textId="12561F16" w:rsidR="00504060" w:rsidRPr="00080991" w:rsidRDefault="003D732E" w:rsidP="00586032">
            <w:pPr>
              <w:shd w:val="clear" w:color="auto" w:fill="FFFFFF"/>
              <w:jc w:val="right"/>
              <w:rPr>
                <w:rFonts w:eastAsia="Times New Roman"/>
              </w:rPr>
            </w:pPr>
            <w:r w:rsidRPr="00080991">
              <w:t>26.825,75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4709" w14:textId="625DDFC1" w:rsidR="00504060" w:rsidRPr="00080991" w:rsidRDefault="003C00C8" w:rsidP="00586032">
            <w:pPr>
              <w:shd w:val="clear" w:color="auto" w:fill="FFFFFF"/>
              <w:jc w:val="right"/>
            </w:pPr>
            <w:r w:rsidRPr="00080991">
              <w:t>35.350,00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F62" w14:textId="7EB99487" w:rsidR="00504060" w:rsidRPr="00080991" w:rsidRDefault="00F92C1B" w:rsidP="00586032">
            <w:pPr>
              <w:shd w:val="clear" w:color="auto" w:fill="FFFFFF"/>
              <w:jc w:val="right"/>
              <w:rPr>
                <w:rFonts w:eastAsia="Times New Roman"/>
              </w:rPr>
            </w:pPr>
            <w:r w:rsidRPr="00080991">
              <w:rPr>
                <w:rFonts w:eastAsia="Times New Roman"/>
              </w:rPr>
              <w:t>3</w:t>
            </w:r>
            <w:r w:rsidR="009448C7" w:rsidRPr="00080991">
              <w:rPr>
                <w:rFonts w:eastAsia="Times New Roman"/>
              </w:rPr>
              <w:t>4</w:t>
            </w:r>
            <w:r w:rsidRPr="00080991">
              <w:rPr>
                <w:rFonts w:eastAsia="Times New Roman"/>
              </w:rPr>
              <w:t>.2</w:t>
            </w:r>
            <w:r w:rsidR="009448C7" w:rsidRPr="00080991">
              <w:rPr>
                <w:rFonts w:eastAsia="Times New Roman"/>
              </w:rPr>
              <w:t>37</w:t>
            </w:r>
            <w:r w:rsidRPr="00080991">
              <w:rPr>
                <w:rFonts w:eastAsia="Times New Roman"/>
              </w:rPr>
              <w:t>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7A6" w14:textId="760ACF0C" w:rsidR="00504060" w:rsidRPr="00080991" w:rsidRDefault="007B1643" w:rsidP="00586032">
            <w:pPr>
              <w:shd w:val="clear" w:color="auto" w:fill="FFFFFF"/>
              <w:jc w:val="right"/>
            </w:pPr>
            <w:r w:rsidRPr="00080991">
              <w:t>12</w:t>
            </w:r>
            <w:r w:rsidR="009448C7" w:rsidRPr="00080991">
              <w:t>7</w:t>
            </w:r>
            <w:r w:rsidRPr="00080991">
              <w:t>,</w:t>
            </w:r>
            <w:r w:rsidR="009448C7" w:rsidRPr="00080991">
              <w:t>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500" w14:textId="32EC6801" w:rsidR="00504060" w:rsidRPr="00080991" w:rsidRDefault="007B1643" w:rsidP="00586032">
            <w:pPr>
              <w:shd w:val="clear" w:color="auto" w:fill="FFFFFF"/>
              <w:jc w:val="right"/>
            </w:pPr>
            <w:r w:rsidRPr="00080991">
              <w:t>9</w:t>
            </w:r>
            <w:r w:rsidR="009448C7" w:rsidRPr="00080991">
              <w:t>6</w:t>
            </w:r>
            <w:r w:rsidRPr="00080991">
              <w:t>,</w:t>
            </w:r>
            <w:r w:rsidR="009448C7" w:rsidRPr="00080991">
              <w:t>85</w:t>
            </w:r>
          </w:p>
        </w:tc>
      </w:tr>
      <w:tr w:rsidR="00504060" w:rsidRPr="00504060" w14:paraId="3BB63688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54D5" w14:textId="33C1C67E" w:rsidR="00504060" w:rsidRPr="00504060" w:rsidRDefault="00504060" w:rsidP="00792ABE">
            <w:pPr>
              <w:shd w:val="clear" w:color="auto" w:fill="FFFFFF"/>
              <w:rPr>
                <w:rFonts w:eastAsia="Times New Roman"/>
              </w:rPr>
            </w:pPr>
            <w:r w:rsidRPr="00504060"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3655" w14:textId="77777777" w:rsidR="00504060" w:rsidRPr="00504060" w:rsidRDefault="00504060" w:rsidP="00792ABE">
            <w:pPr>
              <w:shd w:val="clear" w:color="auto" w:fill="FFFFFF"/>
            </w:pPr>
            <w:r w:rsidRPr="00504060">
              <w:t xml:space="preserve">Prihodi iz proračuna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5B9B" w14:textId="18AF834A" w:rsidR="00504060" w:rsidRPr="00080991" w:rsidRDefault="003D732E" w:rsidP="00586032">
            <w:pPr>
              <w:shd w:val="clear" w:color="auto" w:fill="FFFFFF"/>
              <w:jc w:val="right"/>
              <w:rPr>
                <w:rFonts w:eastAsia="Times New Roman"/>
              </w:rPr>
            </w:pPr>
            <w:r w:rsidRPr="00080991">
              <w:t>726.258,55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258C" w14:textId="6D15B618" w:rsidR="00504060" w:rsidRPr="00080991" w:rsidRDefault="00823755" w:rsidP="00586032">
            <w:pPr>
              <w:shd w:val="clear" w:color="auto" w:fill="FFFFFF"/>
              <w:jc w:val="right"/>
            </w:pPr>
            <w:r w:rsidRPr="00080991">
              <w:t>1.463.062,00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3657" w14:textId="2B29CCC7" w:rsidR="00504060" w:rsidRPr="00080991" w:rsidRDefault="00F92C1B" w:rsidP="00586032">
            <w:pPr>
              <w:shd w:val="clear" w:color="auto" w:fill="FFFFFF"/>
              <w:jc w:val="right"/>
            </w:pPr>
            <w:r w:rsidRPr="00080991">
              <w:t>90</w:t>
            </w:r>
            <w:r w:rsidR="009448C7" w:rsidRPr="00080991">
              <w:t>5</w:t>
            </w:r>
            <w:r w:rsidRPr="00080991">
              <w:t>.</w:t>
            </w:r>
            <w:r w:rsidR="009448C7" w:rsidRPr="00080991">
              <w:t>637</w:t>
            </w:r>
            <w:r w:rsidRPr="00080991">
              <w:t>,1</w:t>
            </w:r>
            <w:r w:rsidR="009448C7" w:rsidRPr="00080991"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037" w14:textId="7CD830FB" w:rsidR="00504060" w:rsidRPr="00080991" w:rsidRDefault="007B1643" w:rsidP="00586032">
            <w:pPr>
              <w:shd w:val="clear" w:color="auto" w:fill="FFFFFF"/>
              <w:jc w:val="right"/>
            </w:pPr>
            <w:r w:rsidRPr="00080991">
              <w:t>124,</w:t>
            </w:r>
            <w:r w:rsidR="009448C7" w:rsidRPr="00080991"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1D5" w14:textId="6EBB7A93" w:rsidR="00504060" w:rsidRPr="00080991" w:rsidRDefault="007B1643" w:rsidP="00586032">
            <w:pPr>
              <w:shd w:val="clear" w:color="auto" w:fill="FFFFFF"/>
              <w:jc w:val="right"/>
            </w:pPr>
            <w:r w:rsidRPr="00080991">
              <w:t>61,9</w:t>
            </w:r>
            <w:r w:rsidR="009448C7" w:rsidRPr="00080991">
              <w:t>0</w:t>
            </w:r>
          </w:p>
        </w:tc>
      </w:tr>
      <w:tr w:rsidR="00504060" w:rsidRPr="00504060" w14:paraId="3C3200A6" w14:textId="77777777" w:rsidTr="00823755">
        <w:trPr>
          <w:trHeight w:val="2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DB31" w14:textId="77777777" w:rsidR="00504060" w:rsidRPr="00504060" w:rsidRDefault="00504060" w:rsidP="00792ABE">
            <w:pPr>
              <w:shd w:val="clear" w:color="auto" w:fill="FFFFFF"/>
            </w:pPr>
            <w:r w:rsidRPr="00504060"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433" w14:textId="77777777" w:rsidR="00504060" w:rsidRPr="00504060" w:rsidRDefault="00504060" w:rsidP="00792ABE">
            <w:pPr>
              <w:shd w:val="clear" w:color="auto" w:fill="FFFFFF"/>
            </w:pPr>
            <w:r w:rsidRPr="00504060">
              <w:t>Kazne, upravne mjere i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37F" w14:textId="524FFA1C" w:rsidR="00504060" w:rsidRPr="00504060" w:rsidRDefault="003D732E" w:rsidP="00586032">
            <w:pPr>
              <w:shd w:val="clear" w:color="auto" w:fill="FFFFFF"/>
              <w:jc w:val="right"/>
            </w:pPr>
            <w:r w:rsidRPr="003D732E">
              <w:t>505,72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D71A" w14:textId="767BD776" w:rsidR="00504060" w:rsidRPr="00504060" w:rsidRDefault="00504060" w:rsidP="00586032">
            <w:pPr>
              <w:shd w:val="clear" w:color="auto" w:fill="FFFFFF"/>
              <w:jc w:val="right"/>
            </w:pPr>
            <w:r w:rsidRPr="00504060">
              <w:t>1</w:t>
            </w:r>
            <w:r w:rsidR="003C00C8">
              <w:t>00</w:t>
            </w:r>
            <w:r w:rsidRPr="00504060">
              <w:t>,00</w:t>
            </w:r>
            <w:r w:rsidR="00F92C1B"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E3BB" w14:textId="2BBDF378" w:rsidR="00504060" w:rsidRPr="00504060" w:rsidRDefault="00F92C1B" w:rsidP="00586032">
            <w:pPr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23E5" w14:textId="6986CA7A" w:rsidR="00504060" w:rsidRPr="00504060" w:rsidRDefault="007B1643" w:rsidP="00586032">
            <w:pPr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369" w14:textId="0FE0E9C5" w:rsidR="00504060" w:rsidRPr="00504060" w:rsidRDefault="007B1643" w:rsidP="00586032">
            <w:pPr>
              <w:shd w:val="clear" w:color="auto" w:fill="FFFFFF"/>
              <w:jc w:val="right"/>
            </w:pPr>
            <w:r>
              <w:t>0,00</w:t>
            </w:r>
          </w:p>
        </w:tc>
      </w:tr>
      <w:tr w:rsidR="007B1643" w:rsidRPr="00504060" w14:paraId="137359A2" w14:textId="77777777" w:rsidTr="00823755">
        <w:trPr>
          <w:trHeight w:val="28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3BC" w14:textId="77777777" w:rsidR="007B1643" w:rsidRPr="00504060" w:rsidRDefault="007B1643" w:rsidP="007B1643">
            <w:pPr>
              <w:shd w:val="clear" w:color="auto" w:fill="FFFFFF"/>
              <w:rPr>
                <w:rFonts w:eastAsia="Times New Roman"/>
                <w:i/>
              </w:rPr>
            </w:pPr>
            <w:r w:rsidRPr="00504060">
              <w:rPr>
                <w:i/>
              </w:rPr>
              <w:t xml:space="preserve">UKUPNO PRIHODI POSLOVANJA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E8F" w14:textId="1FD8C5AE" w:rsidR="007B1643" w:rsidRPr="00504060" w:rsidRDefault="007B1643" w:rsidP="00586032">
            <w:pPr>
              <w:shd w:val="clear" w:color="auto" w:fill="FFFFFF"/>
              <w:jc w:val="right"/>
              <w:rPr>
                <w:iCs/>
              </w:rPr>
            </w:pPr>
            <w:r w:rsidRPr="003D732E">
              <w:rPr>
                <w:iCs/>
              </w:rPr>
              <w:t>757.220,66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F6ED" w14:textId="78E4DC0C" w:rsidR="007B1643" w:rsidRPr="00504060" w:rsidRDefault="007B1643" w:rsidP="00586032">
            <w:pPr>
              <w:shd w:val="clear" w:color="auto" w:fill="FFFFFF"/>
              <w:jc w:val="right"/>
              <w:rPr>
                <w:iCs/>
              </w:rPr>
            </w:pPr>
            <w:r w:rsidRPr="003C00C8">
              <w:rPr>
                <w:iCs/>
              </w:rPr>
              <w:t>1.509.572,00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E046" w14:textId="73834301" w:rsidR="007B1643" w:rsidRPr="00504060" w:rsidRDefault="007B1643" w:rsidP="00586032">
            <w:pPr>
              <w:shd w:val="clear" w:color="auto" w:fill="FFFFFF"/>
              <w:jc w:val="right"/>
              <w:rPr>
                <w:iCs/>
              </w:rPr>
            </w:pPr>
            <w:r>
              <w:rPr>
                <w:rFonts w:eastAsia="Times New Roman"/>
                <w:iCs/>
              </w:rPr>
              <w:t>944.903,00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924" w14:textId="439BCBB2" w:rsidR="007B1643" w:rsidRPr="00504060" w:rsidRDefault="007B1643" w:rsidP="00586032">
            <w:pPr>
              <w:shd w:val="clear" w:color="auto" w:fill="FFFFFF"/>
              <w:jc w:val="right"/>
            </w:pPr>
            <w:r>
              <w:rPr>
                <w:iCs/>
              </w:rPr>
              <w:t>124,79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948" w14:textId="4AE2511E" w:rsidR="007B1643" w:rsidRPr="00504060" w:rsidRDefault="007B1643" w:rsidP="00586032">
            <w:pPr>
              <w:shd w:val="clear" w:color="auto" w:fill="FFFFFF"/>
              <w:jc w:val="right"/>
            </w:pPr>
            <w:r>
              <w:rPr>
                <w:iCs/>
              </w:rPr>
              <w:t>62,59</w:t>
            </w:r>
          </w:p>
        </w:tc>
      </w:tr>
    </w:tbl>
    <w:p w14:paraId="4B425399" w14:textId="77777777" w:rsidR="00504060" w:rsidRPr="00504060" w:rsidRDefault="00504060" w:rsidP="00504060">
      <w:pPr>
        <w:pStyle w:val="Bezproreda"/>
      </w:pPr>
    </w:p>
    <w:p w14:paraId="4A8DF3D1" w14:textId="77777777" w:rsidR="00504060" w:rsidRPr="00504060" w:rsidRDefault="00504060" w:rsidP="00504060">
      <w:pPr>
        <w:pStyle w:val="Bezproreda"/>
      </w:pPr>
    </w:p>
    <w:p w14:paraId="42CF6D98" w14:textId="4E697C2D" w:rsidR="00504060" w:rsidRPr="000B2B43" w:rsidRDefault="00504060" w:rsidP="00504060">
      <w:pPr>
        <w:pStyle w:val="Bezproreda"/>
      </w:pPr>
      <w:r w:rsidRPr="000B2B43">
        <w:tab/>
        <w:t xml:space="preserve">Prihodi od pomoći iz inozemstva i od subjekta unutar općeg proračuna ostvareni su u iznosu od </w:t>
      </w:r>
      <w:r w:rsidR="007B1643" w:rsidRPr="000B2B43">
        <w:t>5</w:t>
      </w:r>
      <w:r w:rsidRPr="000B2B43">
        <w:t>.</w:t>
      </w:r>
      <w:r w:rsidR="007B1643" w:rsidRPr="000B2B43">
        <w:t>028</w:t>
      </w:r>
      <w:r w:rsidRPr="000B2B43">
        <w:t>,</w:t>
      </w:r>
      <w:r w:rsidR="007B1643" w:rsidRPr="000B2B43">
        <w:t>85</w:t>
      </w:r>
      <w:r w:rsidRPr="000B2B43">
        <w:t xml:space="preserve"> </w:t>
      </w:r>
      <w:r w:rsidR="007B1643" w:rsidRPr="000B2B43">
        <w:rPr>
          <w:rFonts w:cstheme="minorHAnsi"/>
        </w:rPr>
        <w:t>€</w:t>
      </w:r>
      <w:r w:rsidR="00FF2D8E" w:rsidRPr="000B2B43">
        <w:t>.</w:t>
      </w:r>
      <w:r w:rsidRPr="000B2B43">
        <w:t xml:space="preserve"> </w:t>
      </w:r>
      <w:r w:rsidR="00FF2D8E" w:rsidRPr="000B2B43">
        <w:rPr>
          <w:rFonts w:ascii="Calibri" w:eastAsia="Times New Roman" w:hAnsi="Calibri" w:cs="Calibri"/>
          <w:lang w:eastAsia="zh-CN"/>
        </w:rPr>
        <w:t>Sredstva su dobivena od Ministarstva gospodarstva i održivog razvoja po zahtjevu za refundaciju (usluga redovnog servisa pumpe velikog protoka).  Iznos 122,81 € ostvaren je od strane Vatrogasne zajednice Požeško – slavonske županije refundacija za gorivo. Iznos od 73,38 € ostvaren je od strane Hrvatskog zavoda za zdravstveno osiguranje refundacija za prvi liječnički pregled novog djelatnika.</w:t>
      </w:r>
    </w:p>
    <w:p w14:paraId="2DB1D24F" w14:textId="77777777" w:rsidR="00504060" w:rsidRDefault="00504060" w:rsidP="00504060">
      <w:pPr>
        <w:pStyle w:val="Bezproreda"/>
      </w:pPr>
    </w:p>
    <w:p w14:paraId="1E3F47E1" w14:textId="77777777" w:rsidR="00CB6CD3" w:rsidRPr="00504060" w:rsidRDefault="00CB6CD3" w:rsidP="00504060">
      <w:pPr>
        <w:pStyle w:val="Bezproreda"/>
      </w:pPr>
    </w:p>
    <w:p w14:paraId="7403D040" w14:textId="57BB71B0" w:rsidR="00504060" w:rsidRPr="00504060" w:rsidRDefault="00504060" w:rsidP="00504060">
      <w:pPr>
        <w:pStyle w:val="Bezproreda"/>
      </w:pPr>
      <w:r w:rsidRPr="00504060">
        <w:tab/>
      </w:r>
      <w:r w:rsidRPr="00CB6CD3">
        <w:t>Prihodi od prodaje proizvoda i robe te pruženih usluga i prihodi od donacija ostvareni su u iznosu</w:t>
      </w:r>
      <w:r w:rsidR="002E1779" w:rsidRPr="00CB6CD3">
        <w:t xml:space="preserve"> od</w:t>
      </w:r>
      <w:r w:rsidRPr="00CB6CD3">
        <w:t xml:space="preserve"> </w:t>
      </w:r>
      <w:r w:rsidR="002E1779" w:rsidRPr="00CB6CD3">
        <w:t>3</w:t>
      </w:r>
      <w:r w:rsidR="009448C7">
        <w:t>4</w:t>
      </w:r>
      <w:r w:rsidRPr="00CB6CD3">
        <w:t>.</w:t>
      </w:r>
      <w:r w:rsidR="002E1779" w:rsidRPr="00CB6CD3">
        <w:t>2</w:t>
      </w:r>
      <w:r w:rsidR="009448C7">
        <w:t>37</w:t>
      </w:r>
      <w:r w:rsidRPr="00CB6CD3">
        <w:t>,</w:t>
      </w:r>
      <w:r w:rsidR="002E1779" w:rsidRPr="00CB6CD3">
        <w:t>0</w:t>
      </w:r>
      <w:r w:rsidRPr="00CB6CD3">
        <w:t xml:space="preserve">5 </w:t>
      </w:r>
      <w:r w:rsidR="002E1779" w:rsidRPr="00CB6CD3">
        <w:rPr>
          <w:rFonts w:cstheme="minorHAnsi"/>
        </w:rPr>
        <w:t>€</w:t>
      </w:r>
      <w:r w:rsidRPr="00CB6CD3">
        <w:t xml:space="preserve">, što je </w:t>
      </w:r>
      <w:r w:rsidR="002E1779" w:rsidRPr="00CB6CD3">
        <w:t>povećanje</w:t>
      </w:r>
      <w:r w:rsidRPr="00CB6CD3">
        <w:t xml:space="preserve"> </w:t>
      </w:r>
      <w:r w:rsidR="002E1779" w:rsidRPr="00CB6CD3">
        <w:t xml:space="preserve">navedenih </w:t>
      </w:r>
      <w:r w:rsidRPr="00CB6CD3">
        <w:t>prihoda u odnosu na isti period</w:t>
      </w:r>
      <w:r w:rsidR="002E1779" w:rsidRPr="00CB6CD3">
        <w:t xml:space="preserve"> u</w:t>
      </w:r>
      <w:r w:rsidRPr="00CB6CD3">
        <w:t xml:space="preserve"> prethod</w:t>
      </w:r>
      <w:r w:rsidR="002E1779" w:rsidRPr="00CB6CD3">
        <w:t>noj</w:t>
      </w:r>
      <w:r w:rsidRPr="00CB6CD3">
        <w:t xml:space="preserve"> godin</w:t>
      </w:r>
      <w:r w:rsidR="002E1779" w:rsidRPr="00CB6CD3">
        <w:t>i</w:t>
      </w:r>
      <w:r w:rsidRPr="00CB6CD3">
        <w:t xml:space="preserve"> za </w:t>
      </w:r>
      <w:r w:rsidR="009448C7">
        <w:t xml:space="preserve">7.411,30 </w:t>
      </w:r>
      <w:r w:rsidR="009448C7">
        <w:rPr>
          <w:rFonts w:cstheme="minorHAnsi"/>
        </w:rPr>
        <w:t>€</w:t>
      </w:r>
      <w:r w:rsidR="009448C7">
        <w:t xml:space="preserve"> ili </w:t>
      </w:r>
      <w:r w:rsidR="002E1779" w:rsidRPr="00CB6CD3">
        <w:t>2</w:t>
      </w:r>
      <w:r w:rsidR="009448C7">
        <w:t>7</w:t>
      </w:r>
      <w:r w:rsidRPr="00CB6CD3">
        <w:t>,</w:t>
      </w:r>
      <w:r w:rsidR="009448C7">
        <w:t>6</w:t>
      </w:r>
      <w:r w:rsidR="002E1779" w:rsidRPr="00CB6CD3">
        <w:t xml:space="preserve">3 </w:t>
      </w:r>
      <w:r w:rsidRPr="00CB6CD3">
        <w:t>%.</w:t>
      </w:r>
      <w:r w:rsidR="00CD579A">
        <w:t xml:space="preserve"> Razlog povećanja ovih prihoda je više pruženih usluga tj. povećana potreba za navedenim uslugama.</w:t>
      </w:r>
    </w:p>
    <w:p w14:paraId="51591BEA" w14:textId="77777777" w:rsidR="00504060" w:rsidRDefault="00504060" w:rsidP="00504060">
      <w:pPr>
        <w:pStyle w:val="Bezproreda"/>
      </w:pPr>
    </w:p>
    <w:p w14:paraId="51FB8A7A" w14:textId="77777777" w:rsidR="00CB6CD3" w:rsidRPr="00504060" w:rsidRDefault="00CB6CD3" w:rsidP="00504060">
      <w:pPr>
        <w:pStyle w:val="Bezproreda"/>
      </w:pPr>
    </w:p>
    <w:p w14:paraId="6290B2CD" w14:textId="2A14190A" w:rsidR="00504060" w:rsidRPr="00504060" w:rsidRDefault="00504060" w:rsidP="00504060">
      <w:pPr>
        <w:pStyle w:val="Bezproreda"/>
      </w:pPr>
      <w:r w:rsidRPr="00504060">
        <w:tab/>
        <w:t xml:space="preserve">Prihodi iz proračuna ostvareni </w:t>
      </w:r>
      <w:r w:rsidR="002E1779">
        <w:t xml:space="preserve">su </w:t>
      </w:r>
      <w:r w:rsidRPr="00504060">
        <w:t xml:space="preserve">u iznosu od </w:t>
      </w:r>
      <w:r w:rsidR="002E1779" w:rsidRPr="002E1779">
        <w:t>90</w:t>
      </w:r>
      <w:r w:rsidR="009448C7">
        <w:t>5</w:t>
      </w:r>
      <w:r w:rsidR="002E1779" w:rsidRPr="002E1779">
        <w:t>.</w:t>
      </w:r>
      <w:r w:rsidR="009448C7">
        <w:t>637</w:t>
      </w:r>
      <w:r w:rsidR="002E1779" w:rsidRPr="002E1779">
        <w:t>,1</w:t>
      </w:r>
      <w:r w:rsidR="009448C7">
        <w:t>0</w:t>
      </w:r>
      <w:r w:rsidR="002E1779">
        <w:t xml:space="preserve"> </w:t>
      </w:r>
      <w:r w:rsidR="002E1779">
        <w:rPr>
          <w:rFonts w:cstheme="minorHAnsi"/>
        </w:rPr>
        <w:t>€</w:t>
      </w:r>
      <w:r w:rsidRPr="00504060">
        <w:t xml:space="preserve">, što je u odnosu na isti period </w:t>
      </w:r>
      <w:r w:rsidR="002E1779">
        <w:t xml:space="preserve">iz </w:t>
      </w:r>
      <w:r w:rsidRPr="00504060">
        <w:t>prethodne godine povećan</w:t>
      </w:r>
      <w:r w:rsidR="002E1779">
        <w:t xml:space="preserve">je </w:t>
      </w:r>
      <w:r w:rsidRPr="00504060">
        <w:t>za 1</w:t>
      </w:r>
      <w:r w:rsidR="009448C7">
        <w:t>79</w:t>
      </w:r>
      <w:r w:rsidRPr="00504060">
        <w:t>.</w:t>
      </w:r>
      <w:r w:rsidR="00CB6CD3">
        <w:t>3</w:t>
      </w:r>
      <w:r w:rsidR="009448C7">
        <w:t>78</w:t>
      </w:r>
      <w:r w:rsidRPr="00504060">
        <w:t>,</w:t>
      </w:r>
      <w:r w:rsidR="009448C7">
        <w:t>55</w:t>
      </w:r>
      <w:r w:rsidRPr="00504060">
        <w:t xml:space="preserve"> </w:t>
      </w:r>
      <w:r w:rsidR="00CB6CD3">
        <w:rPr>
          <w:rFonts w:cstheme="minorHAnsi"/>
        </w:rPr>
        <w:t>€</w:t>
      </w:r>
      <w:r w:rsidRPr="00504060">
        <w:t xml:space="preserve"> ili </w:t>
      </w:r>
      <w:r w:rsidR="00CB6CD3">
        <w:t>24</w:t>
      </w:r>
      <w:r w:rsidRPr="00504060">
        <w:t>,</w:t>
      </w:r>
      <w:r w:rsidR="009448C7">
        <w:t>70</w:t>
      </w:r>
      <w:r w:rsidRPr="00504060">
        <w:t xml:space="preserve"> %.</w:t>
      </w:r>
      <w:r w:rsidR="00CD579A">
        <w:t xml:space="preserve"> Razlog ovom uvećanju su troškovi za plaće djelatnika</w:t>
      </w:r>
      <w:r w:rsidR="00FA7302">
        <w:t xml:space="preserve">, tj. zapošljavanje dva nova djelatnika i </w:t>
      </w:r>
      <w:r w:rsidR="007A6BC3">
        <w:t>uvećanje osnovice za državne službenike i namještenike prema Zakonu o vatrogastvu, te usvajanju nove</w:t>
      </w:r>
      <w:r w:rsidR="00FA7302">
        <w:t xml:space="preserve"> Procjen</w:t>
      </w:r>
      <w:r w:rsidR="007A6BC3">
        <w:t>e</w:t>
      </w:r>
      <w:r w:rsidR="00FA7302">
        <w:t xml:space="preserve"> </w:t>
      </w:r>
      <w:r w:rsidR="007A6BC3">
        <w:t>ugroženosti</w:t>
      </w:r>
      <w:r w:rsidR="00FA7302">
        <w:t xml:space="preserve"> od požara </w:t>
      </w:r>
      <w:r w:rsidR="007A6BC3">
        <w:t xml:space="preserve">i tehnološke eksplozije za </w:t>
      </w:r>
      <w:r w:rsidR="00FA7302">
        <w:t xml:space="preserve"> Grad Požeg</w:t>
      </w:r>
      <w:r w:rsidR="007A6BC3">
        <w:t>u.</w:t>
      </w:r>
    </w:p>
    <w:p w14:paraId="7AB7CB87" w14:textId="77777777" w:rsidR="00504060" w:rsidRDefault="00504060" w:rsidP="00504060">
      <w:pPr>
        <w:pStyle w:val="Bezproreda"/>
      </w:pPr>
    </w:p>
    <w:p w14:paraId="1C823992" w14:textId="77777777" w:rsidR="00CB6CD3" w:rsidRPr="00504060" w:rsidRDefault="00CB6CD3" w:rsidP="00504060">
      <w:pPr>
        <w:pStyle w:val="Bezproreda"/>
      </w:pPr>
    </w:p>
    <w:p w14:paraId="63D34352" w14:textId="5396717C" w:rsidR="00504060" w:rsidRPr="00504060" w:rsidRDefault="00504060" w:rsidP="00504060">
      <w:pPr>
        <w:pStyle w:val="Bezproreda"/>
      </w:pPr>
      <w:r w:rsidRPr="00504060">
        <w:tab/>
      </w:r>
      <w:r w:rsidRPr="00162EFE">
        <w:t xml:space="preserve">Kazne, upravne mjere i ostali prihodi </w:t>
      </w:r>
      <w:r w:rsidR="00CB6CD3" w:rsidRPr="00162EFE">
        <w:t>ni</w:t>
      </w:r>
      <w:r w:rsidRPr="00162EFE">
        <w:t>su ostvareni</w:t>
      </w:r>
      <w:r w:rsidR="00CB6CD3" w:rsidRPr="00162EFE">
        <w:t xml:space="preserve"> ove godine, dok su prethodne godine ostvaren</w:t>
      </w:r>
      <w:r w:rsidR="00080991">
        <w:t>e</w:t>
      </w:r>
      <w:r w:rsidR="00CB6CD3" w:rsidRPr="00162EFE">
        <w:t xml:space="preserve"> u iznosu 505,72 </w:t>
      </w:r>
      <w:r w:rsidR="00CB6CD3" w:rsidRPr="00162EFE">
        <w:rPr>
          <w:rFonts w:cstheme="minorHAnsi"/>
        </w:rPr>
        <w:t>€</w:t>
      </w:r>
      <w:r w:rsidRPr="00162EFE">
        <w:t>.</w:t>
      </w:r>
    </w:p>
    <w:p w14:paraId="3ACA8D83" w14:textId="77777777" w:rsidR="00504060" w:rsidRDefault="00504060" w:rsidP="00504060">
      <w:pPr>
        <w:pStyle w:val="Bezproreda"/>
      </w:pPr>
    </w:p>
    <w:p w14:paraId="289140E2" w14:textId="77777777" w:rsidR="00CB6CD3" w:rsidRPr="00504060" w:rsidRDefault="00CB6CD3" w:rsidP="00504060">
      <w:pPr>
        <w:pStyle w:val="Bezproreda"/>
      </w:pPr>
    </w:p>
    <w:p w14:paraId="2BC6EEBC" w14:textId="782B3DFB" w:rsidR="00504060" w:rsidRPr="00504060" w:rsidRDefault="00504060" w:rsidP="00504060">
      <w:pPr>
        <w:pStyle w:val="Bezproreda"/>
      </w:pPr>
      <w:r w:rsidRPr="00504060">
        <w:tab/>
        <w:t>Prema izvorima financiranja, vrijednosno najznačajniji izvor prihoda Javne vatrogasne postrojbe Grada Požege su: Opći prihodi i primci</w:t>
      </w:r>
      <w:r w:rsidR="00CB6CD3">
        <w:t xml:space="preserve"> – od Grada Požege</w:t>
      </w:r>
      <w:r w:rsidRPr="00504060">
        <w:t>, Pomoći</w:t>
      </w:r>
      <w:r w:rsidR="00162EFE">
        <w:t xml:space="preserve"> iz državnog proračuna te </w:t>
      </w:r>
      <w:r w:rsidRPr="00504060">
        <w:t>Vlastiti prihodi i Donacije.</w:t>
      </w:r>
    </w:p>
    <w:p w14:paraId="371C7656" w14:textId="1741CE10" w:rsidR="00162EFE" w:rsidRDefault="00162EFE" w:rsidP="00504060">
      <w:pPr>
        <w:pStyle w:val="Bezproreda"/>
      </w:pPr>
    </w:p>
    <w:p w14:paraId="395669BF" w14:textId="77777777" w:rsidR="00162EFE" w:rsidRDefault="00162EFE" w:rsidP="00504060">
      <w:pPr>
        <w:pStyle w:val="Bezproreda"/>
      </w:pPr>
    </w:p>
    <w:p w14:paraId="7BF5947A" w14:textId="402999C0" w:rsidR="00504060" w:rsidRPr="00504060" w:rsidRDefault="00504060" w:rsidP="00162EFE">
      <w:pPr>
        <w:pStyle w:val="Bezproreda"/>
        <w:ind w:firstLine="708"/>
        <w:rPr>
          <w:color w:val="000000"/>
        </w:rPr>
      </w:pPr>
      <w:r w:rsidRPr="00162EFE">
        <w:rPr>
          <w:u w:val="single"/>
        </w:rPr>
        <w:t>Rashodi poslovanja</w:t>
      </w:r>
      <w:r w:rsidRPr="00504060">
        <w:t xml:space="preserve"> realizirani tijekom izvještajnog razdoblja iznose</w:t>
      </w:r>
      <w:r w:rsidR="006B2F4F">
        <w:t xml:space="preserve"> ukupno</w:t>
      </w:r>
      <w:r w:rsidRPr="00504060">
        <w:t xml:space="preserve"> </w:t>
      </w:r>
      <w:r w:rsidR="00080991">
        <w:t>1.</w:t>
      </w:r>
      <w:r w:rsidR="00080991">
        <w:rPr>
          <w:color w:val="000000"/>
        </w:rPr>
        <w:t>018</w:t>
      </w:r>
      <w:r w:rsidRPr="00504060">
        <w:rPr>
          <w:color w:val="000000"/>
        </w:rPr>
        <w:t>.</w:t>
      </w:r>
      <w:r w:rsidR="00080991">
        <w:rPr>
          <w:color w:val="000000"/>
        </w:rPr>
        <w:t>396</w:t>
      </w:r>
      <w:r w:rsidRPr="00504060">
        <w:rPr>
          <w:color w:val="000000"/>
        </w:rPr>
        <w:t>,</w:t>
      </w:r>
      <w:r w:rsidR="00080991">
        <w:rPr>
          <w:color w:val="000000"/>
        </w:rPr>
        <w:t>26</w:t>
      </w:r>
      <w:r w:rsidRPr="00504060">
        <w:rPr>
          <w:color w:val="000000"/>
        </w:rPr>
        <w:t xml:space="preserve"> </w:t>
      </w:r>
      <w:r w:rsidR="00080991">
        <w:rPr>
          <w:rFonts w:cstheme="minorHAnsi"/>
          <w:color w:val="000000"/>
        </w:rPr>
        <w:t>€</w:t>
      </w:r>
      <w:r w:rsidR="00080991">
        <w:rPr>
          <w:color w:val="000000"/>
        </w:rPr>
        <w:t>,</w:t>
      </w:r>
      <w:r w:rsidRPr="00504060">
        <w:rPr>
          <w:color w:val="000000"/>
        </w:rPr>
        <w:t xml:space="preserve"> što je u odnosu na pr</w:t>
      </w:r>
      <w:r w:rsidR="00080991">
        <w:rPr>
          <w:color w:val="000000"/>
        </w:rPr>
        <w:t>ethodnu</w:t>
      </w:r>
      <w:r w:rsidRPr="00504060">
        <w:rPr>
          <w:color w:val="000000"/>
        </w:rPr>
        <w:t xml:space="preserve"> godinu </w:t>
      </w:r>
      <w:r w:rsidR="00080991">
        <w:rPr>
          <w:color w:val="000000"/>
        </w:rPr>
        <w:t>povećanje za 265</w:t>
      </w:r>
      <w:r w:rsidRPr="00504060">
        <w:rPr>
          <w:color w:val="000000"/>
        </w:rPr>
        <w:t>.</w:t>
      </w:r>
      <w:r w:rsidR="00080991">
        <w:rPr>
          <w:color w:val="000000"/>
        </w:rPr>
        <w:t>653</w:t>
      </w:r>
      <w:r w:rsidRPr="00504060">
        <w:rPr>
          <w:color w:val="000000"/>
        </w:rPr>
        <w:t>,</w:t>
      </w:r>
      <w:r w:rsidR="00080991">
        <w:rPr>
          <w:color w:val="000000"/>
        </w:rPr>
        <w:t>15</w:t>
      </w:r>
      <w:r w:rsidRPr="00504060">
        <w:rPr>
          <w:color w:val="000000"/>
        </w:rPr>
        <w:t xml:space="preserve"> </w:t>
      </w:r>
      <w:r w:rsidR="00080991">
        <w:rPr>
          <w:rFonts w:cstheme="minorHAnsi"/>
          <w:color w:val="000000"/>
        </w:rPr>
        <w:t>€</w:t>
      </w:r>
      <w:r w:rsidR="00080991">
        <w:rPr>
          <w:color w:val="000000"/>
        </w:rPr>
        <w:t xml:space="preserve"> ili </w:t>
      </w:r>
      <w:r w:rsidR="00184596">
        <w:rPr>
          <w:color w:val="000000"/>
        </w:rPr>
        <w:t>35</w:t>
      </w:r>
      <w:r w:rsidR="00080991">
        <w:rPr>
          <w:color w:val="000000"/>
        </w:rPr>
        <w:t>,</w:t>
      </w:r>
      <w:r w:rsidR="00184596">
        <w:rPr>
          <w:color w:val="000000"/>
        </w:rPr>
        <w:t>2</w:t>
      </w:r>
      <w:r w:rsidR="00080991">
        <w:rPr>
          <w:color w:val="000000"/>
        </w:rPr>
        <w:t>9 %</w:t>
      </w:r>
      <w:r w:rsidRPr="00504060">
        <w:rPr>
          <w:color w:val="000000"/>
        </w:rPr>
        <w:t>.</w:t>
      </w:r>
    </w:p>
    <w:p w14:paraId="171010B1" w14:textId="77777777" w:rsidR="00CB6CD3" w:rsidRDefault="00CB6CD3" w:rsidP="00504060">
      <w:pPr>
        <w:pStyle w:val="Bezproreda"/>
        <w:rPr>
          <w:color w:val="000000"/>
        </w:rPr>
      </w:pPr>
    </w:p>
    <w:p w14:paraId="07BC5FA2" w14:textId="77777777" w:rsidR="00162EFE" w:rsidRPr="00504060" w:rsidRDefault="00162EFE" w:rsidP="00504060">
      <w:pPr>
        <w:pStyle w:val="Bezproreda"/>
        <w:rPr>
          <w:color w:val="000000"/>
        </w:rPr>
      </w:pPr>
    </w:p>
    <w:p w14:paraId="3D44D77F" w14:textId="6374F371" w:rsidR="00CB6CD3" w:rsidRDefault="00504060" w:rsidP="00162EFE">
      <w:pPr>
        <w:pStyle w:val="Bezproreda"/>
        <w:ind w:firstLine="708"/>
        <w:rPr>
          <w:color w:val="000000"/>
        </w:rPr>
      </w:pPr>
      <w:r w:rsidRPr="00162EFE">
        <w:rPr>
          <w:color w:val="000000"/>
          <w:u w:val="single"/>
        </w:rPr>
        <w:t>Rashodi za nabavu nefinancijske imovine</w:t>
      </w:r>
      <w:r w:rsidRPr="00504060">
        <w:rPr>
          <w:color w:val="000000"/>
        </w:rPr>
        <w:t xml:space="preserve"> </w:t>
      </w:r>
      <w:r w:rsidR="006B2F4F">
        <w:rPr>
          <w:color w:val="000000"/>
        </w:rPr>
        <w:t>realizirani</w:t>
      </w:r>
      <w:r w:rsidRPr="00504060">
        <w:rPr>
          <w:color w:val="000000"/>
        </w:rPr>
        <w:t xml:space="preserve"> tijekom izvještajnog razdoblja iznose </w:t>
      </w:r>
      <w:r w:rsidR="006B2F4F">
        <w:rPr>
          <w:color w:val="000000"/>
        </w:rPr>
        <w:t>ukupno 7</w:t>
      </w:r>
      <w:r w:rsidRPr="00504060">
        <w:rPr>
          <w:color w:val="000000"/>
        </w:rPr>
        <w:t>.</w:t>
      </w:r>
      <w:r w:rsidR="006B2F4F">
        <w:rPr>
          <w:color w:val="000000"/>
        </w:rPr>
        <w:t>678</w:t>
      </w:r>
      <w:r w:rsidRPr="00504060">
        <w:rPr>
          <w:color w:val="000000"/>
        </w:rPr>
        <w:t>,</w:t>
      </w:r>
      <w:r w:rsidR="006B2F4F">
        <w:rPr>
          <w:color w:val="000000"/>
        </w:rPr>
        <w:t>20</w:t>
      </w:r>
      <w:r w:rsidRPr="00504060">
        <w:rPr>
          <w:color w:val="000000"/>
        </w:rPr>
        <w:t xml:space="preserve"> </w:t>
      </w:r>
      <w:r w:rsidR="006B2F4F">
        <w:rPr>
          <w:rFonts w:cstheme="minorHAnsi"/>
          <w:color w:val="000000"/>
        </w:rPr>
        <w:t xml:space="preserve">€, što je u odnosu na prethodnu godinu manje za 3.539,51 € ili </w:t>
      </w:r>
      <w:r w:rsidR="00184596">
        <w:rPr>
          <w:rFonts w:cstheme="minorHAnsi"/>
          <w:color w:val="000000"/>
        </w:rPr>
        <w:t>31</w:t>
      </w:r>
      <w:r w:rsidR="006B2F4F">
        <w:rPr>
          <w:rFonts w:cstheme="minorHAnsi"/>
          <w:color w:val="000000"/>
        </w:rPr>
        <w:t>,</w:t>
      </w:r>
      <w:r w:rsidR="00184596">
        <w:rPr>
          <w:rFonts w:cstheme="minorHAnsi"/>
          <w:color w:val="000000"/>
        </w:rPr>
        <w:t>88</w:t>
      </w:r>
      <w:r w:rsidR="006B2F4F">
        <w:rPr>
          <w:rFonts w:cstheme="minorHAnsi"/>
          <w:color w:val="000000"/>
        </w:rPr>
        <w:t xml:space="preserve"> %</w:t>
      </w:r>
      <w:r w:rsidRPr="00504060">
        <w:rPr>
          <w:color w:val="000000"/>
        </w:rPr>
        <w:t>.</w:t>
      </w:r>
    </w:p>
    <w:p w14:paraId="6C2BE7E2" w14:textId="77777777" w:rsidR="00CB6CD3" w:rsidRDefault="00CB6CD3" w:rsidP="00CB6CD3">
      <w:pPr>
        <w:pStyle w:val="Bezproreda"/>
        <w:rPr>
          <w:color w:val="000000"/>
        </w:rPr>
      </w:pPr>
    </w:p>
    <w:p w14:paraId="3988DED8" w14:textId="77777777" w:rsidR="00162EFE" w:rsidRDefault="00162EFE" w:rsidP="00CB6CD3">
      <w:pPr>
        <w:pStyle w:val="Bezproreda"/>
        <w:rPr>
          <w:color w:val="000000"/>
        </w:rPr>
      </w:pPr>
    </w:p>
    <w:p w14:paraId="0C014510" w14:textId="77777777" w:rsidR="00162EFE" w:rsidRDefault="00162EFE" w:rsidP="00CB6CD3">
      <w:pPr>
        <w:pStyle w:val="Bezproreda"/>
        <w:rPr>
          <w:color w:val="000000"/>
        </w:rPr>
      </w:pPr>
    </w:p>
    <w:p w14:paraId="06AFD9BF" w14:textId="77777777" w:rsidR="00162EFE" w:rsidRDefault="00162EFE" w:rsidP="00CB6CD3">
      <w:pPr>
        <w:pStyle w:val="Bezproreda"/>
        <w:rPr>
          <w:color w:val="000000"/>
        </w:rPr>
      </w:pPr>
    </w:p>
    <w:p w14:paraId="15C59968" w14:textId="77777777" w:rsidR="00162EFE" w:rsidRDefault="00162EFE" w:rsidP="00CB6CD3">
      <w:pPr>
        <w:pStyle w:val="Bezproreda"/>
        <w:rPr>
          <w:color w:val="000000"/>
        </w:rPr>
      </w:pPr>
    </w:p>
    <w:p w14:paraId="4C526D59" w14:textId="77777777" w:rsidR="00162EFE" w:rsidRDefault="00162EFE" w:rsidP="00CB6CD3">
      <w:pPr>
        <w:pStyle w:val="Bezproreda"/>
        <w:rPr>
          <w:color w:val="000000"/>
        </w:rPr>
      </w:pPr>
    </w:p>
    <w:p w14:paraId="73F54B7A" w14:textId="77777777" w:rsidR="00162EFE" w:rsidRDefault="00162EFE" w:rsidP="00CB6CD3">
      <w:pPr>
        <w:pStyle w:val="Bezproreda"/>
        <w:rPr>
          <w:color w:val="000000"/>
        </w:rPr>
      </w:pPr>
    </w:p>
    <w:p w14:paraId="31D1C0B0" w14:textId="77777777" w:rsidR="00162EFE" w:rsidRDefault="00162EFE" w:rsidP="00CB6CD3">
      <w:pPr>
        <w:pStyle w:val="Bezproreda"/>
        <w:rPr>
          <w:color w:val="000000"/>
        </w:rPr>
      </w:pPr>
    </w:p>
    <w:p w14:paraId="026D0330" w14:textId="77777777" w:rsidR="00162EFE" w:rsidRDefault="00162EFE" w:rsidP="00CB6CD3">
      <w:pPr>
        <w:pStyle w:val="Bezproreda"/>
        <w:rPr>
          <w:color w:val="000000"/>
        </w:rPr>
      </w:pPr>
    </w:p>
    <w:p w14:paraId="50BC28ED" w14:textId="77777777" w:rsidR="00162EFE" w:rsidRDefault="00162EFE" w:rsidP="00CB6CD3">
      <w:pPr>
        <w:pStyle w:val="Bezproreda"/>
        <w:rPr>
          <w:color w:val="000000"/>
        </w:rPr>
      </w:pPr>
    </w:p>
    <w:p w14:paraId="1C471405" w14:textId="77777777" w:rsidR="00162EFE" w:rsidRDefault="00162EFE" w:rsidP="00CB6CD3">
      <w:pPr>
        <w:pStyle w:val="Bezproreda"/>
        <w:rPr>
          <w:color w:val="000000"/>
        </w:rPr>
      </w:pPr>
    </w:p>
    <w:p w14:paraId="78D66665" w14:textId="77777777" w:rsidR="00162EFE" w:rsidRDefault="00162EFE" w:rsidP="00CB6CD3">
      <w:pPr>
        <w:pStyle w:val="Bezproreda"/>
        <w:rPr>
          <w:color w:val="000000"/>
        </w:rPr>
      </w:pPr>
    </w:p>
    <w:p w14:paraId="020AD47A" w14:textId="77777777" w:rsidR="00162EFE" w:rsidRPr="00504060" w:rsidRDefault="00162EFE" w:rsidP="00CB6CD3">
      <w:pPr>
        <w:pStyle w:val="Bezproreda"/>
        <w:rPr>
          <w:color w:val="000000"/>
        </w:rPr>
      </w:pPr>
    </w:p>
    <w:p w14:paraId="249F6305" w14:textId="43239FA6" w:rsidR="00CB6CD3" w:rsidRPr="00504060" w:rsidRDefault="00504060" w:rsidP="00162EFE">
      <w:pPr>
        <w:pStyle w:val="Bezproreda"/>
        <w:ind w:firstLine="708"/>
        <w:rPr>
          <w:color w:val="000000"/>
        </w:rPr>
      </w:pPr>
      <w:r w:rsidRPr="00504060">
        <w:rPr>
          <w:color w:val="000000"/>
        </w:rPr>
        <w:t>Pregled ostvarenih rashoda poslovanja i rashoda za nabavu nefinancijske imovine iskazan je u slijedećoj tablici:</w:t>
      </w:r>
    </w:p>
    <w:tbl>
      <w:tblPr>
        <w:tblW w:w="92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1787"/>
        <w:gridCol w:w="1559"/>
        <w:gridCol w:w="1560"/>
        <w:gridCol w:w="1417"/>
        <w:gridCol w:w="1152"/>
        <w:gridCol w:w="1193"/>
      </w:tblGrid>
      <w:tr w:rsidR="00504060" w:rsidRPr="00504060" w14:paraId="0813CE08" w14:textId="77777777" w:rsidTr="00792ABE">
        <w:trPr>
          <w:trHeight w:val="284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6C7B82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SKUPINA KONTA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CB287C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NAZIV KONTA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CD311" w14:textId="507E536C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IZVRŠENJE 202</w:t>
            </w:r>
            <w:r w:rsidR="008F4569">
              <w:rPr>
                <w:i/>
              </w:rPr>
              <w:t>4</w:t>
            </w:r>
            <w:r w:rsidRPr="00504060">
              <w:rPr>
                <w:i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A31F5" w14:textId="28736E8C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REBALANS 202</w:t>
            </w:r>
            <w:r w:rsidR="008F4569">
              <w:rPr>
                <w:i/>
              </w:rPr>
              <w:t>5</w:t>
            </w:r>
            <w:r w:rsidRPr="00504060">
              <w:rPr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445E" w14:textId="08BE26D5" w:rsidR="00504060" w:rsidRPr="00504060" w:rsidRDefault="00504060" w:rsidP="00792ABE">
            <w:pPr>
              <w:shd w:val="clear" w:color="auto" w:fill="FFFFFF"/>
              <w:jc w:val="center"/>
              <w:rPr>
                <w:rFonts w:eastAsia="Times New Roman"/>
                <w:i/>
              </w:rPr>
            </w:pPr>
            <w:r w:rsidRPr="00504060">
              <w:rPr>
                <w:i/>
              </w:rPr>
              <w:t>IZVRŠENJE 202</w:t>
            </w:r>
            <w:r w:rsidR="008F4569">
              <w:rPr>
                <w:i/>
              </w:rPr>
              <w:t>5</w:t>
            </w:r>
            <w:r w:rsidRPr="00504060">
              <w:rPr>
                <w:i/>
              </w:rPr>
              <w:t xml:space="preserve">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A51C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INDEX</w:t>
            </w:r>
          </w:p>
          <w:p w14:paraId="0C944BF5" w14:textId="0E43D453" w:rsidR="00504060" w:rsidRPr="00504060" w:rsidRDefault="00504060" w:rsidP="009009C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(</w:t>
            </w:r>
            <w:r w:rsidR="009009CE">
              <w:rPr>
                <w:i/>
              </w:rPr>
              <w:t>5</w:t>
            </w:r>
            <w:r w:rsidRPr="00504060">
              <w:rPr>
                <w:i/>
              </w:rPr>
              <w:t>/3)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AA74" w14:textId="77777777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INDEX</w:t>
            </w:r>
          </w:p>
          <w:p w14:paraId="22C203AD" w14:textId="77E07062" w:rsidR="00504060" w:rsidRPr="00504060" w:rsidRDefault="00504060" w:rsidP="00792ABE">
            <w:pPr>
              <w:shd w:val="clear" w:color="auto" w:fill="FFFFFF"/>
              <w:jc w:val="center"/>
              <w:rPr>
                <w:i/>
              </w:rPr>
            </w:pPr>
            <w:r w:rsidRPr="00504060">
              <w:rPr>
                <w:i/>
              </w:rPr>
              <w:t>(</w:t>
            </w:r>
            <w:r w:rsidR="009009CE">
              <w:rPr>
                <w:i/>
              </w:rPr>
              <w:t>5</w:t>
            </w:r>
            <w:r w:rsidRPr="00504060">
              <w:rPr>
                <w:i/>
              </w:rPr>
              <w:t>/4)</w:t>
            </w:r>
          </w:p>
        </w:tc>
      </w:tr>
      <w:tr w:rsidR="00504060" w:rsidRPr="00504060" w14:paraId="43EE145E" w14:textId="77777777" w:rsidTr="00792ABE">
        <w:trPr>
          <w:trHeight w:val="2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B5A3" w14:textId="77777777" w:rsidR="00504060" w:rsidRPr="00504060" w:rsidRDefault="00504060" w:rsidP="00792ABE">
            <w:pPr>
              <w:jc w:val="center"/>
            </w:pPr>
            <w:r w:rsidRPr="00504060"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18EA" w14:textId="77777777" w:rsidR="00504060" w:rsidRPr="00504060" w:rsidRDefault="00504060" w:rsidP="00792ABE">
            <w:pPr>
              <w:jc w:val="center"/>
            </w:pPr>
            <w:r w:rsidRPr="00504060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8495A9" w14:textId="77777777" w:rsidR="00504060" w:rsidRPr="00504060" w:rsidRDefault="00504060" w:rsidP="00792ABE">
            <w:pPr>
              <w:jc w:val="center"/>
            </w:pPr>
            <w:r w:rsidRPr="00504060"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E4744" w14:textId="77777777" w:rsidR="00504060" w:rsidRPr="00504060" w:rsidRDefault="00504060" w:rsidP="00792ABE">
            <w:pPr>
              <w:jc w:val="center"/>
            </w:pPr>
            <w:r w:rsidRPr="00504060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D17F" w14:textId="1A51BCB2" w:rsidR="00504060" w:rsidRPr="00504060" w:rsidRDefault="009009CE" w:rsidP="00792ABE">
            <w:pPr>
              <w:jc w:val="center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CE28" w14:textId="188FBC1F" w:rsidR="00504060" w:rsidRPr="00504060" w:rsidRDefault="009009CE" w:rsidP="00792ABE">
            <w:pPr>
              <w:jc w:val="center"/>
            </w:pPr>
            <w: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7FEA" w14:textId="2F438BCA" w:rsidR="00504060" w:rsidRPr="00504060" w:rsidRDefault="009009CE" w:rsidP="00792ABE">
            <w:pPr>
              <w:jc w:val="center"/>
            </w:pPr>
            <w:r>
              <w:t>7</w:t>
            </w:r>
          </w:p>
        </w:tc>
      </w:tr>
      <w:tr w:rsidR="00504060" w:rsidRPr="00504060" w14:paraId="15DD5BB9" w14:textId="77777777" w:rsidTr="008F4569">
        <w:trPr>
          <w:trHeight w:val="284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02441" w14:textId="77777777" w:rsidR="00504060" w:rsidRPr="00504060" w:rsidRDefault="00504060" w:rsidP="00792ABE">
            <w:pPr>
              <w:jc w:val="both"/>
              <w:rPr>
                <w:rFonts w:eastAsia="Times New Roman"/>
                <w:i/>
              </w:rPr>
            </w:pPr>
            <w:r w:rsidRPr="00504060">
              <w:rPr>
                <w:i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B9DBD" w14:textId="1A00442C" w:rsidR="00504060" w:rsidRPr="00504060" w:rsidRDefault="006B2F4F" w:rsidP="00586032">
            <w:pPr>
              <w:jc w:val="right"/>
              <w:rPr>
                <w:iCs/>
              </w:rPr>
            </w:pPr>
            <w:r w:rsidRPr="006B2F4F">
              <w:rPr>
                <w:iCs/>
              </w:rPr>
              <w:t>752.743,11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F4A7A" w14:textId="4F5224D6" w:rsidR="00504060" w:rsidRPr="00504060" w:rsidRDefault="008F4569" w:rsidP="00586032">
            <w:pPr>
              <w:jc w:val="right"/>
              <w:rPr>
                <w:iCs/>
              </w:rPr>
            </w:pPr>
            <w:r>
              <w:rPr>
                <w:iCs/>
              </w:rPr>
              <w:t>1.059.572,00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1D0A" w14:textId="0F6D8457" w:rsidR="00504060" w:rsidRPr="00504060" w:rsidRDefault="00586032" w:rsidP="00586032">
            <w:pPr>
              <w:jc w:val="righ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1.018.396,26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BFA2" w14:textId="767CD7B8" w:rsidR="00504060" w:rsidRPr="00504060" w:rsidRDefault="009009CE" w:rsidP="00586032">
            <w:pPr>
              <w:jc w:val="right"/>
              <w:rPr>
                <w:iCs/>
              </w:rPr>
            </w:pPr>
            <w:r>
              <w:rPr>
                <w:iCs/>
              </w:rPr>
              <w:t>135,29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69C5" w14:textId="04707120" w:rsidR="00504060" w:rsidRPr="00504060" w:rsidRDefault="009009CE" w:rsidP="00586032">
            <w:pPr>
              <w:jc w:val="right"/>
              <w:rPr>
                <w:iCs/>
              </w:rPr>
            </w:pPr>
            <w:r>
              <w:rPr>
                <w:iCs/>
              </w:rPr>
              <w:t>96,11</w:t>
            </w:r>
          </w:p>
        </w:tc>
      </w:tr>
      <w:tr w:rsidR="00504060" w:rsidRPr="00504060" w14:paraId="0FD034FB" w14:textId="77777777" w:rsidTr="008F4569">
        <w:trPr>
          <w:trHeight w:val="284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1481AD" w14:textId="77777777" w:rsidR="00504060" w:rsidRPr="00504060" w:rsidRDefault="00504060" w:rsidP="00792ABE">
            <w:pPr>
              <w:jc w:val="both"/>
              <w:rPr>
                <w:rFonts w:eastAsia="Times New Roman"/>
              </w:rPr>
            </w:pPr>
            <w:r w:rsidRPr="00504060">
              <w:t>31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FAFE6" w14:textId="30F62F1A" w:rsidR="00504060" w:rsidRPr="00504060" w:rsidRDefault="00504060" w:rsidP="008F77B5">
            <w:r w:rsidRPr="00504060">
              <w:t>Rashodi</w:t>
            </w:r>
            <w:r w:rsidR="008F77B5">
              <w:t xml:space="preserve"> </w:t>
            </w:r>
            <w:r w:rsidRPr="00504060">
              <w:t>za zaposlene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CBF387" w14:textId="0B5B1E55" w:rsidR="00504060" w:rsidRPr="00504060" w:rsidRDefault="006B2F4F" w:rsidP="00586032">
            <w:pPr>
              <w:jc w:val="right"/>
            </w:pPr>
            <w:r w:rsidRPr="006B2F4F">
              <w:t>679.021,11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A6E51" w14:textId="74CB5075" w:rsidR="00504060" w:rsidRPr="00504060" w:rsidRDefault="00586032" w:rsidP="00586032">
            <w:pPr>
              <w:jc w:val="right"/>
            </w:pPr>
            <w:r>
              <w:t>956.288,00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DEF6" w14:textId="400E8488" w:rsidR="00504060" w:rsidRPr="00504060" w:rsidRDefault="00586032" w:rsidP="005860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942.957,76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4C6C" w14:textId="501DE9C8" w:rsidR="00504060" w:rsidRPr="00504060" w:rsidRDefault="009009CE" w:rsidP="00586032">
            <w:pPr>
              <w:jc w:val="right"/>
            </w:pPr>
            <w:r>
              <w:t>138,87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A8E5" w14:textId="1027B812" w:rsidR="00504060" w:rsidRPr="00504060" w:rsidRDefault="008F77B5" w:rsidP="00586032">
            <w:pPr>
              <w:jc w:val="right"/>
            </w:pPr>
            <w:r>
              <w:t>98,61</w:t>
            </w:r>
          </w:p>
        </w:tc>
      </w:tr>
      <w:tr w:rsidR="00504060" w:rsidRPr="00504060" w14:paraId="3A43D312" w14:textId="77777777" w:rsidTr="008F4569">
        <w:trPr>
          <w:trHeight w:val="284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D4837" w14:textId="77777777" w:rsidR="00504060" w:rsidRPr="00504060" w:rsidRDefault="00504060" w:rsidP="00792ABE">
            <w:pPr>
              <w:jc w:val="both"/>
              <w:rPr>
                <w:rFonts w:eastAsia="Times New Roman"/>
              </w:rPr>
            </w:pPr>
            <w:r w:rsidRPr="00504060">
              <w:t>32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8474F" w14:textId="77777777" w:rsidR="00504060" w:rsidRPr="00504060" w:rsidRDefault="00504060" w:rsidP="008F77B5">
            <w:r w:rsidRPr="00504060">
              <w:t>Materijalni rashodi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4A008" w14:textId="1B519575" w:rsidR="00504060" w:rsidRPr="00504060" w:rsidRDefault="006B2F4F" w:rsidP="00586032">
            <w:pPr>
              <w:jc w:val="right"/>
            </w:pPr>
            <w:r w:rsidRPr="006B2F4F">
              <w:t>73.722,00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C0FD3" w14:textId="14F26C36" w:rsidR="00504060" w:rsidRPr="00504060" w:rsidRDefault="00586032" w:rsidP="00586032">
            <w:pPr>
              <w:jc w:val="right"/>
              <w:rPr>
                <w:bCs/>
              </w:rPr>
            </w:pPr>
            <w:r>
              <w:rPr>
                <w:bCs/>
              </w:rPr>
              <w:t>103.284,00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DEFA" w14:textId="79ED4E17" w:rsidR="00504060" w:rsidRPr="00504060" w:rsidRDefault="00586032" w:rsidP="005860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75.438,50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080B" w14:textId="519EE8AB" w:rsidR="00504060" w:rsidRPr="00504060" w:rsidRDefault="009009CE" w:rsidP="00586032">
            <w:pPr>
              <w:jc w:val="right"/>
              <w:rPr>
                <w:bCs/>
              </w:rPr>
            </w:pPr>
            <w:r>
              <w:rPr>
                <w:bCs/>
              </w:rPr>
              <w:t>102,33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6523" w14:textId="4006DF8B" w:rsidR="00504060" w:rsidRPr="00504060" w:rsidRDefault="008F77B5" w:rsidP="00586032">
            <w:pPr>
              <w:jc w:val="right"/>
              <w:rPr>
                <w:bCs/>
              </w:rPr>
            </w:pPr>
            <w:r>
              <w:rPr>
                <w:bCs/>
              </w:rPr>
              <w:t>73,04</w:t>
            </w:r>
          </w:p>
        </w:tc>
      </w:tr>
      <w:tr w:rsidR="00504060" w:rsidRPr="00504060" w14:paraId="51C5A17E" w14:textId="77777777" w:rsidTr="008F4569">
        <w:trPr>
          <w:trHeight w:val="284"/>
          <w:jc w:val="center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52DD5" w14:textId="77777777" w:rsidR="00504060" w:rsidRPr="00504060" w:rsidRDefault="00504060" w:rsidP="00792ABE">
            <w:pPr>
              <w:rPr>
                <w:i/>
              </w:rPr>
            </w:pPr>
            <w:r w:rsidRPr="00504060">
              <w:rPr>
                <w:i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C2B7A" w14:textId="1E3F3AD8" w:rsidR="00504060" w:rsidRPr="00504060" w:rsidRDefault="006B2F4F" w:rsidP="00586032">
            <w:pPr>
              <w:snapToGrid w:val="0"/>
              <w:jc w:val="right"/>
              <w:rPr>
                <w:rFonts w:eastAsia="Times New Roman"/>
                <w:iCs/>
              </w:rPr>
            </w:pPr>
            <w:r w:rsidRPr="006B2F4F">
              <w:rPr>
                <w:rFonts w:eastAsia="Times New Roman"/>
                <w:iCs/>
              </w:rPr>
              <w:t>11.271,71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CE520" w14:textId="5150B162" w:rsidR="00504060" w:rsidRPr="00504060" w:rsidRDefault="008F4569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14.614,00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D592" w14:textId="5BA77669" w:rsidR="00504060" w:rsidRPr="00504060" w:rsidRDefault="00586032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7.678,20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E675" w14:textId="1B6192D4" w:rsidR="00504060" w:rsidRPr="00504060" w:rsidRDefault="009009CE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68,12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49E" w14:textId="46898B6B" w:rsidR="00504060" w:rsidRPr="00504060" w:rsidRDefault="008F77B5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52,54</w:t>
            </w:r>
          </w:p>
        </w:tc>
      </w:tr>
      <w:tr w:rsidR="00504060" w:rsidRPr="00504060" w14:paraId="17BE67BF" w14:textId="77777777" w:rsidTr="008F4569">
        <w:trPr>
          <w:trHeight w:val="284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D12E6D" w14:textId="77777777" w:rsidR="00504060" w:rsidRPr="00504060" w:rsidRDefault="00504060" w:rsidP="00792ABE">
            <w:pPr>
              <w:jc w:val="both"/>
              <w:rPr>
                <w:rFonts w:eastAsia="Times New Roman"/>
              </w:rPr>
            </w:pPr>
            <w:r w:rsidRPr="00504060">
              <w:t>42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EEC24B" w14:textId="77777777" w:rsidR="00504060" w:rsidRPr="00504060" w:rsidRDefault="00504060" w:rsidP="00792ABE">
            <w:r w:rsidRPr="00504060">
              <w:t>Rashodi za nabavu proizvedene dugotrajne imovine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A0A804" w14:textId="7C79D0B3" w:rsidR="00504060" w:rsidRPr="00504060" w:rsidRDefault="006B2F4F" w:rsidP="00586032">
            <w:pPr>
              <w:jc w:val="right"/>
              <w:rPr>
                <w:iCs/>
              </w:rPr>
            </w:pPr>
            <w:r w:rsidRPr="006B2F4F">
              <w:rPr>
                <w:iCs/>
              </w:rPr>
              <w:t>11.271,71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5A6317" w14:textId="7A0C17EC" w:rsidR="00504060" w:rsidRPr="00504060" w:rsidRDefault="008F4569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14.614,00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847B1" w14:textId="056E9B92" w:rsidR="00504060" w:rsidRPr="00504060" w:rsidRDefault="00586032" w:rsidP="00586032">
            <w:pPr>
              <w:jc w:val="righ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7.678,20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31F13" w14:textId="4D211FE0" w:rsidR="00504060" w:rsidRPr="00504060" w:rsidRDefault="009009CE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68,12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C0A91" w14:textId="0D1C20ED" w:rsidR="00504060" w:rsidRPr="00504060" w:rsidRDefault="008F77B5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52,54</w:t>
            </w:r>
          </w:p>
        </w:tc>
      </w:tr>
      <w:tr w:rsidR="00504060" w:rsidRPr="00504060" w14:paraId="72698F1A" w14:textId="77777777" w:rsidTr="008F4569">
        <w:trPr>
          <w:trHeight w:val="284"/>
          <w:jc w:val="center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EC2A8" w14:textId="77777777" w:rsidR="00504060" w:rsidRPr="00504060" w:rsidRDefault="00504060" w:rsidP="00792ABE">
            <w:pPr>
              <w:rPr>
                <w:rFonts w:eastAsia="Times New Roman"/>
                <w:i/>
              </w:rPr>
            </w:pPr>
            <w:r w:rsidRPr="00504060">
              <w:rPr>
                <w:i/>
              </w:rPr>
              <w:t>UKUPNO RASHODI POSLOVANJA I RASHODI ZA NABAVU NEFINANCIJSKE IMOVINE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E90AF" w14:textId="451E4F2E" w:rsidR="00504060" w:rsidRPr="00504060" w:rsidRDefault="006B2F4F" w:rsidP="00586032">
            <w:pPr>
              <w:jc w:val="right"/>
              <w:rPr>
                <w:iCs/>
              </w:rPr>
            </w:pPr>
            <w:r w:rsidRPr="006B2F4F">
              <w:rPr>
                <w:iCs/>
              </w:rPr>
              <w:t>7</w:t>
            </w:r>
            <w:r w:rsidR="008F4569">
              <w:rPr>
                <w:iCs/>
              </w:rPr>
              <w:t>64</w:t>
            </w:r>
            <w:r w:rsidRPr="006B2F4F">
              <w:rPr>
                <w:iCs/>
              </w:rPr>
              <w:t>.</w:t>
            </w:r>
            <w:r w:rsidR="008F4569">
              <w:rPr>
                <w:iCs/>
              </w:rPr>
              <w:t>014</w:t>
            </w:r>
            <w:r w:rsidRPr="006B2F4F">
              <w:rPr>
                <w:iCs/>
              </w:rPr>
              <w:t>,</w:t>
            </w:r>
            <w:r w:rsidR="008F4569">
              <w:rPr>
                <w:iCs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1418B" w14:textId="27EA2AD1" w:rsidR="00504060" w:rsidRPr="00504060" w:rsidRDefault="00586032" w:rsidP="00586032">
            <w:pPr>
              <w:ind w:left="-107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1.074.186,00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65A2" w14:textId="1987FD4E" w:rsidR="00504060" w:rsidRPr="00504060" w:rsidRDefault="00586032" w:rsidP="00586032">
            <w:pPr>
              <w:jc w:val="righ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1.026.074,46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E6AC" w14:textId="6E5168C0" w:rsidR="00504060" w:rsidRPr="00504060" w:rsidRDefault="009009CE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134,30</w:t>
            </w:r>
            <w:r w:rsidR="003A14BB">
              <w:rPr>
                <w:bCs/>
                <w:iCs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20D5" w14:textId="44A9CCF0" w:rsidR="00504060" w:rsidRPr="00504060" w:rsidRDefault="008F77B5" w:rsidP="00586032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95,52</w:t>
            </w:r>
          </w:p>
        </w:tc>
      </w:tr>
    </w:tbl>
    <w:p w14:paraId="62DE568A" w14:textId="77777777" w:rsidR="00504060" w:rsidRPr="00504060" w:rsidRDefault="00504060" w:rsidP="00504060">
      <w:pPr>
        <w:pStyle w:val="Bezproreda"/>
      </w:pPr>
    </w:p>
    <w:p w14:paraId="06AACAB2" w14:textId="77777777" w:rsidR="00504060" w:rsidRPr="00504060" w:rsidRDefault="00504060" w:rsidP="00504060">
      <w:pPr>
        <w:pStyle w:val="Bezproreda"/>
      </w:pPr>
    </w:p>
    <w:p w14:paraId="612ECAFB" w14:textId="5440CAEB" w:rsidR="00504060" w:rsidRDefault="00504060" w:rsidP="00427B02">
      <w:pPr>
        <w:pStyle w:val="Bezproreda"/>
        <w:jc w:val="both"/>
      </w:pPr>
      <w:r w:rsidRPr="00504060">
        <w:tab/>
        <w:t>Rashodi za zaposlene realizirani tijekom izvještajnog razdoblja iznose</w:t>
      </w:r>
      <w:r w:rsidR="008F77B5">
        <w:t xml:space="preserve"> ukupno</w:t>
      </w:r>
      <w:r w:rsidRPr="00504060">
        <w:t xml:space="preserve"> </w:t>
      </w:r>
      <w:r w:rsidR="008F77B5">
        <w:t>942</w:t>
      </w:r>
      <w:r w:rsidRPr="00504060">
        <w:t>.</w:t>
      </w:r>
      <w:r w:rsidR="008F77B5">
        <w:t>957</w:t>
      </w:r>
      <w:r w:rsidRPr="00504060">
        <w:t>,</w:t>
      </w:r>
      <w:r w:rsidR="008F77B5">
        <w:t>76</w:t>
      </w:r>
      <w:r w:rsidRPr="00504060">
        <w:t xml:space="preserve"> </w:t>
      </w:r>
      <w:r w:rsidR="008F77B5">
        <w:rPr>
          <w:rFonts w:cstheme="minorHAnsi"/>
        </w:rPr>
        <w:t>€</w:t>
      </w:r>
      <w:r w:rsidR="008F77B5">
        <w:t>,</w:t>
      </w:r>
      <w:r w:rsidRPr="00504060">
        <w:t xml:space="preserve"> </w:t>
      </w:r>
      <w:r w:rsidR="008F77B5">
        <w:t>š</w:t>
      </w:r>
      <w:r w:rsidRPr="00504060">
        <w:t xml:space="preserve">to je u odnosu na isto razdoblje protekle godine </w:t>
      </w:r>
      <w:r w:rsidR="008F77B5">
        <w:t>više</w:t>
      </w:r>
      <w:r w:rsidRPr="00504060">
        <w:t xml:space="preserve"> za </w:t>
      </w:r>
      <w:r w:rsidR="008F77B5">
        <w:t>263</w:t>
      </w:r>
      <w:r w:rsidRPr="00504060">
        <w:t>.</w:t>
      </w:r>
      <w:r w:rsidR="008F77B5">
        <w:t>936</w:t>
      </w:r>
      <w:r w:rsidRPr="00504060">
        <w:t>,</w:t>
      </w:r>
      <w:r w:rsidR="008F77B5">
        <w:t>65</w:t>
      </w:r>
      <w:r w:rsidRPr="00504060">
        <w:t xml:space="preserve"> </w:t>
      </w:r>
      <w:r w:rsidR="008F77B5">
        <w:rPr>
          <w:rFonts w:cstheme="minorHAnsi"/>
        </w:rPr>
        <w:t>€</w:t>
      </w:r>
      <w:r w:rsidR="003C0F78">
        <w:rPr>
          <w:rFonts w:cstheme="minorHAnsi"/>
        </w:rPr>
        <w:t xml:space="preserve"> ili 38,</w:t>
      </w:r>
      <w:r w:rsidR="00184596">
        <w:rPr>
          <w:rFonts w:cstheme="minorHAnsi"/>
        </w:rPr>
        <w:t>87</w:t>
      </w:r>
      <w:r w:rsidR="003C0F78">
        <w:rPr>
          <w:rFonts w:cstheme="minorHAnsi"/>
        </w:rPr>
        <w:t xml:space="preserve"> %</w:t>
      </w:r>
      <w:r w:rsidRPr="00504060">
        <w:t>.</w:t>
      </w:r>
      <w:r w:rsidR="000B3B20">
        <w:t xml:space="preserve">  Razlog ovom uvećanju je povećani broj</w:t>
      </w:r>
      <w:r w:rsidR="007A5E83">
        <w:t xml:space="preserve">a djelatnika </w:t>
      </w:r>
      <w:r w:rsidR="000B3B20">
        <w:t>za dva u odnosu na prethodn</w:t>
      </w:r>
      <w:r w:rsidR="007A5E83">
        <w:t>u</w:t>
      </w:r>
      <w:r w:rsidR="000B3B20">
        <w:t xml:space="preserve"> </w:t>
      </w:r>
      <w:r w:rsidR="007A5E83">
        <w:t>godinu</w:t>
      </w:r>
      <w:r w:rsidR="000B3B20">
        <w:t xml:space="preserve"> te uvećanje plaća svim djelatnicima</w:t>
      </w:r>
      <w:r w:rsidR="007A6BC3">
        <w:t xml:space="preserve"> zbog uvećanja osnovice</w:t>
      </w:r>
      <w:r w:rsidR="000B3B20">
        <w:t>.</w:t>
      </w:r>
    </w:p>
    <w:p w14:paraId="27FB6448" w14:textId="77777777" w:rsidR="003C0F78" w:rsidRPr="00504060" w:rsidRDefault="003C0F78" w:rsidP="00504060">
      <w:pPr>
        <w:pStyle w:val="Bezproreda"/>
      </w:pPr>
    </w:p>
    <w:p w14:paraId="5B2DE17D" w14:textId="03E47C21" w:rsidR="00504060" w:rsidRDefault="00504060" w:rsidP="00427B02">
      <w:pPr>
        <w:pStyle w:val="Bezproreda"/>
        <w:jc w:val="both"/>
      </w:pPr>
      <w:r w:rsidRPr="00504060">
        <w:tab/>
        <w:t>Materijalni rashodi realizirani tijekom izvještajnog razdoblja iznose</w:t>
      </w:r>
      <w:r w:rsidR="003C0F78">
        <w:t xml:space="preserve"> ukupno</w:t>
      </w:r>
      <w:r w:rsidRPr="00504060">
        <w:t xml:space="preserve"> 7</w:t>
      </w:r>
      <w:r w:rsidR="003C0F78">
        <w:t>5</w:t>
      </w:r>
      <w:r w:rsidRPr="00504060">
        <w:t>.</w:t>
      </w:r>
      <w:r w:rsidR="003C0F78">
        <w:t>438</w:t>
      </w:r>
      <w:r w:rsidRPr="00504060">
        <w:t>,</w:t>
      </w:r>
      <w:r w:rsidR="003C0F78">
        <w:t>5</w:t>
      </w:r>
      <w:r w:rsidRPr="00504060">
        <w:t xml:space="preserve">0 </w:t>
      </w:r>
      <w:r w:rsidR="003C0F78">
        <w:rPr>
          <w:rFonts w:cstheme="minorHAnsi"/>
        </w:rPr>
        <w:t>€</w:t>
      </w:r>
      <w:r w:rsidR="003C0F78">
        <w:t>,</w:t>
      </w:r>
      <w:r w:rsidRPr="00504060">
        <w:t xml:space="preserve"> </w:t>
      </w:r>
      <w:r w:rsidR="003C0F78">
        <w:t>š</w:t>
      </w:r>
      <w:r w:rsidRPr="00504060">
        <w:t xml:space="preserve">to je u odnosu na isto razdoblje protekle godine </w:t>
      </w:r>
      <w:r w:rsidR="003C0F78">
        <w:t>više za</w:t>
      </w:r>
      <w:r w:rsidRPr="00504060">
        <w:t xml:space="preserve"> 1.</w:t>
      </w:r>
      <w:r w:rsidR="003C0F78">
        <w:t>716</w:t>
      </w:r>
      <w:r w:rsidRPr="00504060">
        <w:t>,</w:t>
      </w:r>
      <w:r w:rsidR="003C0F78">
        <w:t>5</w:t>
      </w:r>
      <w:r w:rsidRPr="00504060">
        <w:t xml:space="preserve">0 </w:t>
      </w:r>
      <w:r w:rsidR="003C0F78">
        <w:rPr>
          <w:rFonts w:cstheme="minorHAnsi"/>
        </w:rPr>
        <w:t>€ ili 2,</w:t>
      </w:r>
      <w:r w:rsidR="00184596">
        <w:rPr>
          <w:rFonts w:cstheme="minorHAnsi"/>
        </w:rPr>
        <w:t>33</w:t>
      </w:r>
      <w:r w:rsidR="003C0F78">
        <w:rPr>
          <w:rFonts w:cstheme="minorHAnsi"/>
        </w:rPr>
        <w:t xml:space="preserve"> %</w:t>
      </w:r>
      <w:r w:rsidRPr="00504060">
        <w:t>.</w:t>
      </w:r>
    </w:p>
    <w:p w14:paraId="2D99269E" w14:textId="77777777" w:rsidR="003C0F78" w:rsidRPr="00504060" w:rsidRDefault="003C0F78" w:rsidP="00504060">
      <w:pPr>
        <w:pStyle w:val="Bezproreda"/>
      </w:pPr>
    </w:p>
    <w:p w14:paraId="0A305E3E" w14:textId="62D781FF" w:rsidR="00504060" w:rsidRPr="00504060" w:rsidRDefault="00504060" w:rsidP="00427B02">
      <w:pPr>
        <w:pStyle w:val="Bezproreda"/>
        <w:jc w:val="both"/>
      </w:pPr>
      <w:r w:rsidRPr="00504060">
        <w:tab/>
        <w:t xml:space="preserve">Rashodi za nabavu proizvedene dugotrajne imovine realizirani tijekom izvještajnog razdoblja iznose </w:t>
      </w:r>
      <w:r w:rsidR="003C0F78">
        <w:t>ukupno 7</w:t>
      </w:r>
      <w:r w:rsidRPr="00504060">
        <w:t>.</w:t>
      </w:r>
      <w:r w:rsidR="003C0F78">
        <w:t>678</w:t>
      </w:r>
      <w:r w:rsidRPr="00504060">
        <w:t>,</w:t>
      </w:r>
      <w:r w:rsidR="003C0F78">
        <w:t>20</w:t>
      </w:r>
      <w:r w:rsidRPr="00504060">
        <w:t xml:space="preserve"> </w:t>
      </w:r>
      <w:r w:rsidR="003C0F78">
        <w:rPr>
          <w:rFonts w:cstheme="minorHAnsi"/>
        </w:rPr>
        <w:t>€</w:t>
      </w:r>
      <w:r w:rsidRPr="00504060">
        <w:t xml:space="preserve">, </w:t>
      </w:r>
      <w:r w:rsidR="00184596" w:rsidRPr="00184596">
        <w:t>što je u odnosu na prethodnu godinu manje za 3.539,51 € ili 31,88 %.</w:t>
      </w:r>
    </w:p>
    <w:p w14:paraId="7C9C1E3A" w14:textId="77777777" w:rsidR="00504060" w:rsidRPr="00504060" w:rsidRDefault="00504060" w:rsidP="00504060">
      <w:pPr>
        <w:pStyle w:val="Bezproreda"/>
      </w:pPr>
    </w:p>
    <w:p w14:paraId="0C408FA2" w14:textId="77777777" w:rsidR="00504060" w:rsidRPr="00504060" w:rsidRDefault="00504060" w:rsidP="00504060">
      <w:pPr>
        <w:pStyle w:val="Bezproreda"/>
      </w:pPr>
    </w:p>
    <w:p w14:paraId="23D2F75F" w14:textId="77777777" w:rsidR="00504060" w:rsidRPr="00504060" w:rsidRDefault="00504060" w:rsidP="00504060">
      <w:pPr>
        <w:pStyle w:val="Bezproreda"/>
        <w:numPr>
          <w:ilvl w:val="2"/>
          <w:numId w:val="6"/>
        </w:numPr>
      </w:pPr>
      <w:r w:rsidRPr="00504060">
        <w:t>A. RAČUN PRIHODA I RASHODA – PRIHODI I RASHODI PREMA IZVORIMA FINANCIRANJA</w:t>
      </w:r>
    </w:p>
    <w:p w14:paraId="1E2F552E" w14:textId="77777777" w:rsidR="00504060" w:rsidRPr="00504060" w:rsidRDefault="00504060" w:rsidP="00111B20">
      <w:pPr>
        <w:pStyle w:val="Bezproreda"/>
      </w:pPr>
      <w:r w:rsidRPr="00504060">
        <w:t xml:space="preserve">     </w:t>
      </w:r>
    </w:p>
    <w:p w14:paraId="6A8DB785" w14:textId="38ADB14E" w:rsidR="00111B20" w:rsidRPr="00111B20" w:rsidRDefault="00111B20" w:rsidP="00427B02">
      <w:pPr>
        <w:suppressAutoHyphens/>
        <w:ind w:firstLine="708"/>
        <w:jc w:val="both"/>
        <w:rPr>
          <w:rFonts w:ascii="Calibri" w:eastAsia="Times New Roman" w:hAnsi="Calibri" w:cs="Calibri"/>
          <w:noProof w:val="0"/>
          <w:lang w:eastAsia="zh-CN"/>
        </w:rPr>
      </w:pPr>
      <w:r w:rsidRPr="00111B20">
        <w:rPr>
          <w:rFonts w:ascii="Calibri" w:eastAsia="Times New Roman" w:hAnsi="Calibri" w:cs="Calibri"/>
          <w:noProof w:val="0"/>
          <w:lang w:eastAsia="zh-CN"/>
        </w:rPr>
        <w:t>Vrijednosno najznačajniji prihodi, a time i rashodi po izvorima Financijskog plana čine opći prihodi i primici</w:t>
      </w:r>
      <w:r>
        <w:rPr>
          <w:rFonts w:ascii="Calibri" w:eastAsia="Times New Roman" w:hAnsi="Calibri" w:cs="Calibri"/>
          <w:noProof w:val="0"/>
          <w:lang w:eastAsia="zh-CN"/>
        </w:rPr>
        <w:t>,</w:t>
      </w:r>
      <w:r w:rsidRPr="00111B20">
        <w:rPr>
          <w:rFonts w:ascii="Calibri" w:eastAsia="Times New Roman" w:hAnsi="Calibri" w:cs="Calibri"/>
          <w:noProof w:val="0"/>
          <w:lang w:eastAsia="zh-CN"/>
        </w:rPr>
        <w:t xml:space="preserve"> </w:t>
      </w:r>
      <w:r>
        <w:rPr>
          <w:rFonts w:ascii="Calibri" w:eastAsia="Times New Roman" w:hAnsi="Calibri" w:cs="Calibri"/>
          <w:noProof w:val="0"/>
          <w:lang w:eastAsia="zh-CN"/>
        </w:rPr>
        <w:t xml:space="preserve">pomoći, </w:t>
      </w:r>
      <w:r w:rsidRPr="00111B20">
        <w:rPr>
          <w:rFonts w:ascii="Calibri" w:eastAsia="Times New Roman" w:hAnsi="Calibri" w:cs="Calibri"/>
          <w:noProof w:val="0"/>
          <w:lang w:eastAsia="zh-CN"/>
        </w:rPr>
        <w:t xml:space="preserve">vlastiti prihodi </w:t>
      </w:r>
      <w:r>
        <w:rPr>
          <w:rFonts w:ascii="Calibri" w:eastAsia="Times New Roman" w:hAnsi="Calibri" w:cs="Calibri"/>
          <w:noProof w:val="0"/>
          <w:lang w:eastAsia="zh-CN"/>
        </w:rPr>
        <w:t>i donacije</w:t>
      </w:r>
      <w:r w:rsidRPr="00111B20">
        <w:rPr>
          <w:rFonts w:ascii="Calibri" w:eastAsia="Times New Roman" w:hAnsi="Calibri" w:cs="Calibri"/>
          <w:noProof w:val="0"/>
          <w:lang w:eastAsia="zh-CN"/>
        </w:rPr>
        <w:t>.</w:t>
      </w:r>
    </w:p>
    <w:p w14:paraId="64D0CB1F" w14:textId="77777777" w:rsidR="00504060" w:rsidRPr="00504060" w:rsidRDefault="00504060" w:rsidP="00504060">
      <w:pPr>
        <w:pStyle w:val="Bezproreda"/>
      </w:pPr>
    </w:p>
    <w:p w14:paraId="390D5A59" w14:textId="77777777" w:rsidR="00504060" w:rsidRDefault="00504060" w:rsidP="00504060">
      <w:pPr>
        <w:pStyle w:val="Bezproreda"/>
      </w:pPr>
    </w:p>
    <w:p w14:paraId="3E85C336" w14:textId="77777777" w:rsidR="00184596" w:rsidRPr="00504060" w:rsidRDefault="00184596" w:rsidP="00504060">
      <w:pPr>
        <w:pStyle w:val="Bezproreda"/>
      </w:pPr>
    </w:p>
    <w:p w14:paraId="504FEC5C" w14:textId="77777777" w:rsidR="00504060" w:rsidRPr="00504060" w:rsidRDefault="00504060" w:rsidP="00504060">
      <w:pPr>
        <w:pStyle w:val="Bezproreda"/>
      </w:pPr>
    </w:p>
    <w:p w14:paraId="252B7212" w14:textId="247320E3" w:rsidR="00504060" w:rsidRDefault="00504060" w:rsidP="00504060">
      <w:pPr>
        <w:pStyle w:val="Bezproreda"/>
      </w:pPr>
    </w:p>
    <w:p w14:paraId="6FC16C05" w14:textId="77777777" w:rsidR="00504060" w:rsidRDefault="00504060" w:rsidP="00504060">
      <w:pPr>
        <w:pStyle w:val="Bezproreda"/>
      </w:pPr>
    </w:p>
    <w:p w14:paraId="59F6C26D" w14:textId="77777777" w:rsidR="00111B20" w:rsidRPr="00504060" w:rsidRDefault="00111B20" w:rsidP="00504060">
      <w:pPr>
        <w:pStyle w:val="Bezproreda"/>
      </w:pPr>
    </w:p>
    <w:p w14:paraId="0EC3DE8E" w14:textId="77777777" w:rsidR="00504060" w:rsidRPr="00504060" w:rsidRDefault="00504060" w:rsidP="00504060">
      <w:pPr>
        <w:pStyle w:val="Bezproreda"/>
        <w:numPr>
          <w:ilvl w:val="2"/>
          <w:numId w:val="6"/>
        </w:numPr>
      </w:pPr>
      <w:r w:rsidRPr="00504060">
        <w:t>A RAČUN PRIHODA I RASHODA – PRIHODI I RASHODI PREMA FUNKCIJSKOJ KLASIFIKACIJI</w:t>
      </w:r>
    </w:p>
    <w:p w14:paraId="0B3DA20A" w14:textId="77777777" w:rsidR="00504060" w:rsidRPr="00504060" w:rsidRDefault="00504060" w:rsidP="00504060">
      <w:pPr>
        <w:pStyle w:val="Bezproreda"/>
        <w:ind w:left="708"/>
      </w:pPr>
    </w:p>
    <w:p w14:paraId="620DF073" w14:textId="37C679AB" w:rsidR="00111B20" w:rsidRPr="00111B20" w:rsidRDefault="00111B20" w:rsidP="00111B20">
      <w:pPr>
        <w:suppressAutoHyphens/>
        <w:ind w:firstLine="708"/>
        <w:jc w:val="both"/>
        <w:rPr>
          <w:rFonts w:ascii="Calibri" w:eastAsia="Times New Roman" w:hAnsi="Calibri" w:cs="Calibri"/>
          <w:noProof w:val="0"/>
          <w:lang w:eastAsia="zh-CN"/>
        </w:rPr>
      </w:pPr>
      <w:r w:rsidRPr="00111B20">
        <w:rPr>
          <w:rFonts w:ascii="Calibri" w:eastAsia="Times New Roman" w:hAnsi="Calibri" w:cs="Calibri"/>
          <w:noProof w:val="0"/>
          <w:lang w:eastAsia="zh-CN"/>
        </w:rPr>
        <w:t>U računu prihoda i rashoda prema funkcijskoj klasifikaciji rashodi su realizirani za sljedeće namjene</w:t>
      </w:r>
      <w:r w:rsidRPr="00654F59">
        <w:rPr>
          <w:rFonts w:ascii="Calibri" w:eastAsia="Times New Roman" w:hAnsi="Calibri" w:cs="Calibri"/>
          <w:noProof w:val="0"/>
          <w:lang w:eastAsia="zh-CN"/>
        </w:rPr>
        <w:t>:</w:t>
      </w:r>
      <w:r w:rsidRPr="00111B20">
        <w:rPr>
          <w:rFonts w:ascii="Calibri" w:eastAsia="Times New Roman" w:hAnsi="Calibri" w:cs="Calibri"/>
          <w:noProof w:val="0"/>
          <w:lang w:eastAsia="zh-CN"/>
        </w:rPr>
        <w:t xml:space="preserve"> javni red i sigurnost </w:t>
      </w:r>
      <w:r w:rsidRPr="00654F59">
        <w:rPr>
          <w:rFonts w:ascii="Calibri" w:eastAsia="Times New Roman" w:hAnsi="Calibri" w:cs="Calibri"/>
          <w:noProof w:val="0"/>
          <w:lang w:eastAsia="zh-CN"/>
        </w:rPr>
        <w:t>te</w:t>
      </w:r>
      <w:r w:rsidRPr="00111B20">
        <w:rPr>
          <w:rFonts w:ascii="Calibri" w:eastAsia="Times New Roman" w:hAnsi="Calibri" w:cs="Calibri"/>
          <w:noProof w:val="0"/>
          <w:lang w:eastAsia="zh-CN"/>
        </w:rPr>
        <w:t xml:space="preserve"> usluge protupožarne zaštite.</w:t>
      </w:r>
    </w:p>
    <w:p w14:paraId="5F45F38C" w14:textId="77777777" w:rsidR="00504060" w:rsidRPr="00504060" w:rsidRDefault="00504060" w:rsidP="00504060">
      <w:pPr>
        <w:pStyle w:val="Bezproreda"/>
      </w:pPr>
    </w:p>
    <w:p w14:paraId="199D2C8F" w14:textId="77777777" w:rsidR="00504060" w:rsidRPr="00504060" w:rsidRDefault="00504060" w:rsidP="00504060">
      <w:pPr>
        <w:pStyle w:val="Bezproreda"/>
      </w:pPr>
    </w:p>
    <w:p w14:paraId="3DC3369A" w14:textId="77777777" w:rsidR="00504060" w:rsidRPr="00504060" w:rsidRDefault="00504060" w:rsidP="00504060">
      <w:pPr>
        <w:pStyle w:val="Bezproreda"/>
      </w:pPr>
      <w:r w:rsidRPr="00504060">
        <w:t>2.3.  UKUPNI PRIHODI/PRIMCI I RASHODI/IZDACI – VIŠAK/MANJAK</w:t>
      </w:r>
    </w:p>
    <w:p w14:paraId="051284D2" w14:textId="77777777" w:rsidR="00504060" w:rsidRPr="00504060" w:rsidRDefault="00504060" w:rsidP="00504060">
      <w:pPr>
        <w:pStyle w:val="Bezproreda"/>
      </w:pPr>
    </w:p>
    <w:p w14:paraId="327E1BB8" w14:textId="1AF82693" w:rsidR="00504060" w:rsidRPr="00504060" w:rsidRDefault="00504060" w:rsidP="00504060">
      <w:pPr>
        <w:ind w:firstLine="708"/>
        <w:jc w:val="both"/>
      </w:pPr>
      <w:r w:rsidRPr="00504060">
        <w:t xml:space="preserve"> U izvještajnom razdoblju prema realizaciji </w:t>
      </w:r>
      <w:r w:rsidR="006D72B1">
        <w:t>f</w:t>
      </w:r>
      <w:r w:rsidRPr="00504060">
        <w:t>inancijskog plana prihodi i primci Javne vatrogasne postrojbe Grada Požege ostvareni su u</w:t>
      </w:r>
      <w:r w:rsidR="00FE488A">
        <w:t xml:space="preserve"> ukupnom </w:t>
      </w:r>
      <w:r w:rsidRPr="00504060">
        <w:t xml:space="preserve">iznosu </w:t>
      </w:r>
      <w:r w:rsidR="006D72B1">
        <w:rPr>
          <w:color w:val="000000"/>
        </w:rPr>
        <w:t>944</w:t>
      </w:r>
      <w:r w:rsidRPr="00504060">
        <w:rPr>
          <w:color w:val="000000"/>
        </w:rPr>
        <w:t>.</w:t>
      </w:r>
      <w:r w:rsidR="006D72B1">
        <w:rPr>
          <w:color w:val="000000"/>
        </w:rPr>
        <w:t>903</w:t>
      </w:r>
      <w:r w:rsidRPr="00504060">
        <w:rPr>
          <w:color w:val="000000"/>
        </w:rPr>
        <w:t>,</w:t>
      </w:r>
      <w:r w:rsidR="006D72B1">
        <w:rPr>
          <w:color w:val="000000"/>
        </w:rPr>
        <w:t>00</w:t>
      </w:r>
      <w:r w:rsidRPr="00504060">
        <w:rPr>
          <w:color w:val="000000"/>
        </w:rPr>
        <w:t xml:space="preserve"> </w:t>
      </w:r>
      <w:r w:rsidR="006D72B1">
        <w:rPr>
          <w:rFonts w:cstheme="minorHAnsi"/>
          <w:color w:val="000000"/>
        </w:rPr>
        <w:t>€</w:t>
      </w:r>
      <w:r w:rsidRPr="00504060">
        <w:rPr>
          <w:color w:val="000000"/>
        </w:rPr>
        <w:t xml:space="preserve">, a ukupni rashodi i izdaci realizirani su u iznosu </w:t>
      </w:r>
      <w:r w:rsidR="006D72B1">
        <w:rPr>
          <w:color w:val="000000"/>
        </w:rPr>
        <w:t>1.026</w:t>
      </w:r>
      <w:r w:rsidRPr="00504060">
        <w:rPr>
          <w:color w:val="000000"/>
        </w:rPr>
        <w:t>.</w:t>
      </w:r>
      <w:r w:rsidR="006D72B1">
        <w:rPr>
          <w:color w:val="000000"/>
        </w:rPr>
        <w:t>074</w:t>
      </w:r>
      <w:r w:rsidRPr="00504060">
        <w:rPr>
          <w:color w:val="000000"/>
        </w:rPr>
        <w:t>,</w:t>
      </w:r>
      <w:r w:rsidR="006D72B1">
        <w:rPr>
          <w:color w:val="000000"/>
        </w:rPr>
        <w:t>46</w:t>
      </w:r>
      <w:r w:rsidRPr="00504060">
        <w:rPr>
          <w:color w:val="000000"/>
        </w:rPr>
        <w:t xml:space="preserve"> </w:t>
      </w:r>
      <w:r w:rsidR="006D72B1">
        <w:rPr>
          <w:rFonts w:cstheme="minorHAnsi"/>
          <w:color w:val="000000"/>
        </w:rPr>
        <w:t>€, iz čega proizlazi tekući manjak</w:t>
      </w:r>
      <w:r w:rsidR="004661AF">
        <w:rPr>
          <w:rFonts w:cstheme="minorHAnsi"/>
          <w:color w:val="000000"/>
        </w:rPr>
        <w:t xml:space="preserve"> u iznosu od </w:t>
      </w:r>
      <w:r w:rsidR="00FE488A">
        <w:rPr>
          <w:rFonts w:cstheme="minorHAnsi"/>
          <w:color w:val="000000"/>
        </w:rPr>
        <w:t xml:space="preserve">- </w:t>
      </w:r>
      <w:r w:rsidR="004661AF">
        <w:rPr>
          <w:rFonts w:cstheme="minorHAnsi"/>
          <w:color w:val="000000"/>
        </w:rPr>
        <w:t>81.171,46 €</w:t>
      </w:r>
      <w:r w:rsidRPr="00504060">
        <w:rPr>
          <w:color w:val="000000"/>
        </w:rPr>
        <w:t xml:space="preserve">. </w:t>
      </w:r>
      <w:r w:rsidR="004661AF">
        <w:rPr>
          <w:color w:val="000000"/>
        </w:rPr>
        <w:t xml:space="preserve">Uzevši u obzir višak prenesen iz prethodne godine u iznosu </w:t>
      </w:r>
      <w:r w:rsidR="00FE488A">
        <w:rPr>
          <w:color w:val="000000"/>
        </w:rPr>
        <w:t>9.113</w:t>
      </w:r>
      <w:r w:rsidR="00FE488A" w:rsidRPr="00504060">
        <w:rPr>
          <w:color w:val="000000"/>
        </w:rPr>
        <w:t>,</w:t>
      </w:r>
      <w:r w:rsidR="00FE488A">
        <w:rPr>
          <w:color w:val="000000"/>
        </w:rPr>
        <w:t>46</w:t>
      </w:r>
      <w:r w:rsidR="00FE488A" w:rsidRPr="00504060">
        <w:rPr>
          <w:color w:val="000000"/>
        </w:rPr>
        <w:t xml:space="preserve"> </w:t>
      </w:r>
      <w:r w:rsidR="00FE488A">
        <w:rPr>
          <w:rFonts w:cstheme="minorHAnsi"/>
          <w:color w:val="000000"/>
        </w:rPr>
        <w:t>€</w:t>
      </w:r>
      <w:r w:rsidR="004661AF">
        <w:rPr>
          <w:color w:val="000000"/>
        </w:rPr>
        <w:t>,</w:t>
      </w:r>
      <w:r w:rsidRPr="00504060">
        <w:t xml:space="preserve"> </w:t>
      </w:r>
      <w:r w:rsidR="004661AF">
        <w:t xml:space="preserve">ukupni rezultat godine </w:t>
      </w:r>
      <w:r w:rsidR="009F0071">
        <w:t>predstavlja</w:t>
      </w:r>
      <w:r w:rsidR="004661AF">
        <w:t xml:space="preserve"> manjak</w:t>
      </w:r>
      <w:r w:rsidR="009F0071">
        <w:t xml:space="preserve"> od</w:t>
      </w:r>
      <w:r w:rsidR="004661AF">
        <w:t xml:space="preserve"> </w:t>
      </w:r>
      <w:r w:rsidR="00FE488A">
        <w:rPr>
          <w:color w:val="000000"/>
        </w:rPr>
        <w:t>- 72</w:t>
      </w:r>
      <w:r w:rsidR="00FE488A" w:rsidRPr="00504060">
        <w:rPr>
          <w:color w:val="000000"/>
        </w:rPr>
        <w:t>.</w:t>
      </w:r>
      <w:r w:rsidR="00FE488A">
        <w:rPr>
          <w:color w:val="000000"/>
        </w:rPr>
        <w:t>058</w:t>
      </w:r>
      <w:r w:rsidR="00FE488A" w:rsidRPr="00504060">
        <w:rPr>
          <w:color w:val="000000"/>
        </w:rPr>
        <w:t>,</w:t>
      </w:r>
      <w:r w:rsidR="00FE488A">
        <w:rPr>
          <w:color w:val="000000"/>
        </w:rPr>
        <w:t xml:space="preserve">00 </w:t>
      </w:r>
      <w:r w:rsidR="00FE488A">
        <w:rPr>
          <w:rFonts w:cstheme="minorHAnsi"/>
          <w:color w:val="000000"/>
        </w:rPr>
        <w:t>€</w:t>
      </w:r>
      <w:r w:rsidR="00FE488A">
        <w:rPr>
          <w:color w:val="000000"/>
        </w:rPr>
        <w:t>.</w:t>
      </w:r>
      <w:r w:rsidRPr="00FE488A">
        <w:rPr>
          <w:color w:val="EE0000"/>
        </w:rPr>
        <w:t xml:space="preserve"> </w:t>
      </w:r>
    </w:p>
    <w:p w14:paraId="2AFA3ADC" w14:textId="74E21407" w:rsidR="00504060" w:rsidRPr="00504060" w:rsidRDefault="00504060" w:rsidP="00504060">
      <w:pPr>
        <w:pStyle w:val="Bezproreda"/>
        <w:rPr>
          <w:color w:val="000000"/>
        </w:rPr>
      </w:pPr>
      <w:r w:rsidRPr="00504060">
        <w:rPr>
          <w:color w:val="000000"/>
        </w:rPr>
        <w:tab/>
        <w:t xml:space="preserve">Iskazani rezultat ovog izvještajnog razdoblja </w:t>
      </w:r>
      <w:r w:rsidR="009F0071">
        <w:rPr>
          <w:color w:val="000000"/>
        </w:rPr>
        <w:t>tj. metodološki manjak proizlazi iz izvora 1.</w:t>
      </w:r>
      <w:r w:rsidR="006607B5">
        <w:rPr>
          <w:color w:val="000000"/>
        </w:rPr>
        <w:t>1.</w:t>
      </w:r>
      <w:r w:rsidR="009F0071">
        <w:rPr>
          <w:color w:val="000000"/>
        </w:rPr>
        <w:t xml:space="preserve"> i 1.1.3, a sastoji se od neplaćenih računa i plaće za prosinac koja je evidentirana na rashodima za 2025. godinu, a isplaćena u 2026. godini.</w:t>
      </w:r>
    </w:p>
    <w:p w14:paraId="5CB0DBAB" w14:textId="77777777" w:rsidR="00504060" w:rsidRPr="00504060" w:rsidRDefault="00504060" w:rsidP="00504060">
      <w:pPr>
        <w:pStyle w:val="Bezproreda"/>
        <w:rPr>
          <w:color w:val="000000"/>
        </w:rPr>
      </w:pPr>
    </w:p>
    <w:p w14:paraId="1674216C" w14:textId="77777777" w:rsidR="00C92A6D" w:rsidRDefault="00C92A6D" w:rsidP="00D4510B"/>
    <w:p w14:paraId="3A2D6142" w14:textId="77777777" w:rsidR="00C92A6D" w:rsidRDefault="00504060" w:rsidP="00D4510B">
      <w:r w:rsidRPr="00504060">
        <w:t>3.  POSEBNI DIO</w:t>
      </w:r>
    </w:p>
    <w:p w14:paraId="6CA6ABC9" w14:textId="0032DBF8" w:rsidR="00504060" w:rsidRPr="00504060" w:rsidRDefault="00504060" w:rsidP="00504060">
      <w:pPr>
        <w:ind w:left="709"/>
      </w:pPr>
      <w:r w:rsidRPr="00504060">
        <w:t xml:space="preserve"> </w:t>
      </w:r>
    </w:p>
    <w:p w14:paraId="51193082" w14:textId="77777777" w:rsidR="00504060" w:rsidRPr="00504060" w:rsidRDefault="00504060" w:rsidP="00504060">
      <w:r w:rsidRPr="00504060">
        <w:tab/>
        <w:t>Posebni dio sadrži:</w:t>
      </w:r>
    </w:p>
    <w:p w14:paraId="4E66DA0C" w14:textId="5380CD92" w:rsidR="00504060" w:rsidRDefault="00504060" w:rsidP="00504060">
      <w:pPr>
        <w:pStyle w:val="Odlomakpopisa"/>
        <w:numPr>
          <w:ilvl w:val="0"/>
          <w:numId w:val="3"/>
        </w:numPr>
      </w:pPr>
      <w:r w:rsidRPr="00504060">
        <w:t xml:space="preserve">izvršenje po </w:t>
      </w:r>
      <w:r w:rsidR="00102778">
        <w:t>organizacijskoj</w:t>
      </w:r>
      <w:r w:rsidRPr="00504060">
        <w:t xml:space="preserve"> klasifikaciji</w:t>
      </w:r>
    </w:p>
    <w:p w14:paraId="1A4A368E" w14:textId="320B6FC7" w:rsidR="00102778" w:rsidRDefault="00102778" w:rsidP="00504060">
      <w:pPr>
        <w:pStyle w:val="Odlomakpopisa"/>
        <w:numPr>
          <w:ilvl w:val="0"/>
          <w:numId w:val="3"/>
        </w:numPr>
      </w:pPr>
      <w:r>
        <w:t>izvršenje po programskoj klasifikaciji</w:t>
      </w:r>
    </w:p>
    <w:p w14:paraId="1FEAFB96" w14:textId="77777777" w:rsidR="00D4510B" w:rsidRPr="00504060" w:rsidRDefault="00D4510B" w:rsidP="00D4510B">
      <w:pPr>
        <w:pStyle w:val="Odlomakpopisa"/>
        <w:spacing w:after="0"/>
        <w:ind w:left="1065"/>
      </w:pPr>
    </w:p>
    <w:p w14:paraId="5AC7CAA3" w14:textId="6F64698D" w:rsidR="00504060" w:rsidRDefault="00504060" w:rsidP="00504060">
      <w:pPr>
        <w:ind w:left="705"/>
      </w:pPr>
      <w:r w:rsidRPr="00504060">
        <w:t xml:space="preserve">3.1.  POSEBNI DIO – IZVRŠENJE PO </w:t>
      </w:r>
      <w:r w:rsidR="00102778">
        <w:t>ORGANIZACIJSKOJ</w:t>
      </w:r>
      <w:r w:rsidRPr="00504060">
        <w:t xml:space="preserve"> KLASIFIKACIJI</w:t>
      </w:r>
    </w:p>
    <w:p w14:paraId="594A2C94" w14:textId="77777777" w:rsidR="00102778" w:rsidRPr="00504060" w:rsidRDefault="00102778" w:rsidP="00504060">
      <w:pPr>
        <w:ind w:left="705"/>
      </w:pPr>
    </w:p>
    <w:p w14:paraId="0FD764CA" w14:textId="2C9977F5" w:rsidR="007547F6" w:rsidRPr="007547F6" w:rsidRDefault="007547F6" w:rsidP="007547F6">
      <w:pPr>
        <w:suppressAutoHyphens/>
        <w:ind w:firstLine="720"/>
        <w:jc w:val="both"/>
        <w:rPr>
          <w:rFonts w:ascii="Calibri" w:eastAsia="Times New Roman" w:hAnsi="Calibri" w:cs="Calibri"/>
          <w:noProof w:val="0"/>
          <w:lang w:eastAsia="zh-CN"/>
        </w:rPr>
      </w:pPr>
      <w:r w:rsidRPr="007547F6">
        <w:rPr>
          <w:rFonts w:ascii="Calibri" w:eastAsia="Times New Roman" w:hAnsi="Calibri" w:cs="Calibri"/>
          <w:noProof w:val="0"/>
          <w:lang w:eastAsia="zh-CN"/>
        </w:rPr>
        <w:t xml:space="preserve">Financijski plan Javne vatrogasne postrojbe Grada Požege sastavljen je po organizacijskoj klasifikaciji u razdjelu/Upravnom odjelu za </w:t>
      </w:r>
      <w:r w:rsidR="007D3091">
        <w:rPr>
          <w:rFonts w:ascii="Calibri" w:eastAsia="Times New Roman" w:hAnsi="Calibri" w:cs="Calibri"/>
          <w:noProof w:val="0"/>
          <w:lang w:eastAsia="zh-CN"/>
        </w:rPr>
        <w:t>gospodarstvo, razvoj, zelenu tranziciju, komunalne djelatnosti i upravljanje imovinom</w:t>
      </w:r>
      <w:r w:rsidRPr="007547F6">
        <w:rPr>
          <w:rFonts w:ascii="Calibri" w:eastAsia="Times New Roman" w:hAnsi="Calibri" w:cs="Calibri"/>
          <w:noProof w:val="0"/>
          <w:lang w:eastAsia="zh-CN"/>
        </w:rPr>
        <w:t xml:space="preserve"> – glava Vatrogastvo.</w:t>
      </w:r>
    </w:p>
    <w:p w14:paraId="55424464" w14:textId="77777777" w:rsidR="007547F6" w:rsidRDefault="007547F6" w:rsidP="007547F6">
      <w:pPr>
        <w:suppressAutoHyphens/>
        <w:ind w:firstLine="720"/>
        <w:jc w:val="both"/>
        <w:rPr>
          <w:rFonts w:ascii="Calibri" w:eastAsia="Times New Roman" w:hAnsi="Calibri" w:cs="Calibri"/>
          <w:noProof w:val="0"/>
          <w:lang w:eastAsia="zh-CN"/>
        </w:rPr>
      </w:pPr>
      <w:r w:rsidRPr="007547F6">
        <w:rPr>
          <w:rFonts w:ascii="Calibri" w:eastAsia="Times New Roman" w:hAnsi="Calibri" w:cs="Calibri"/>
          <w:noProof w:val="0"/>
          <w:lang w:eastAsia="zh-CN"/>
        </w:rPr>
        <w:t>Rashodi i izdaci po organizacijskoj klasifikaciji, iskazani po upravnim odjelima i glavama planirani su i realizirani, kako slijedi:</w:t>
      </w:r>
    </w:p>
    <w:p w14:paraId="0104893B" w14:textId="77777777" w:rsidR="007547F6" w:rsidRDefault="007547F6" w:rsidP="007547F6">
      <w:pPr>
        <w:suppressAutoHyphens/>
        <w:ind w:firstLine="720"/>
        <w:jc w:val="both"/>
        <w:rPr>
          <w:rFonts w:ascii="Calibri" w:eastAsia="Times New Roman" w:hAnsi="Calibri" w:cs="Calibri"/>
          <w:noProof w:val="0"/>
          <w:lang w:eastAsia="zh-CN"/>
        </w:rPr>
      </w:pPr>
    </w:p>
    <w:p w14:paraId="00A4014F" w14:textId="77777777" w:rsidR="007547F6" w:rsidRPr="007547F6" w:rsidRDefault="007547F6" w:rsidP="007547F6">
      <w:pPr>
        <w:suppressAutoHyphens/>
        <w:jc w:val="both"/>
        <w:rPr>
          <w:rFonts w:ascii="Calibri" w:eastAsia="Calibri" w:hAnsi="Calibri" w:cs="Calibri"/>
          <w:b/>
          <w:bCs/>
          <w:noProof w:val="0"/>
          <w:color w:val="000000"/>
          <w:lang w:eastAsia="zh-CN"/>
        </w:rPr>
      </w:pPr>
      <w:r w:rsidRPr="007547F6">
        <w:rPr>
          <w:rFonts w:ascii="Calibri" w:eastAsia="Calibri" w:hAnsi="Calibri" w:cs="Calibri"/>
          <w:b/>
          <w:bCs/>
          <w:noProof w:val="0"/>
          <w:color w:val="000000"/>
          <w:lang w:eastAsia="zh-CN"/>
        </w:rPr>
        <w:t>Proračunski korisnik 32720 – Javna vatrogasna postrojba Grada Požege</w:t>
      </w:r>
    </w:p>
    <w:p w14:paraId="2ED2D199" w14:textId="77777777" w:rsidR="007547F6" w:rsidRPr="007547F6" w:rsidRDefault="007547F6" w:rsidP="007547F6">
      <w:pPr>
        <w:suppressAutoHyphens/>
        <w:jc w:val="both"/>
        <w:rPr>
          <w:rFonts w:ascii="Calibri" w:eastAsia="Calibri" w:hAnsi="Calibri" w:cs="Calibri"/>
          <w:b/>
          <w:bCs/>
          <w:noProof w:val="0"/>
          <w:color w:val="000000"/>
          <w:lang w:eastAsia="zh-CN"/>
        </w:rPr>
      </w:pPr>
    </w:p>
    <w:p w14:paraId="68BFA044" w14:textId="77777777" w:rsidR="007547F6" w:rsidRDefault="007547F6" w:rsidP="007547F6">
      <w:pPr>
        <w:suppressAutoHyphens/>
        <w:ind w:firstLine="720"/>
        <w:jc w:val="both"/>
        <w:rPr>
          <w:rFonts w:ascii="Calibri" w:eastAsia="Calibri" w:hAnsi="Calibri" w:cs="Calibri"/>
          <w:noProof w:val="0"/>
          <w:color w:val="000000"/>
          <w:lang w:eastAsia="zh-CN"/>
        </w:rPr>
      </w:pPr>
      <w:r w:rsidRPr="007547F6">
        <w:rPr>
          <w:rFonts w:ascii="Calibri" w:eastAsia="Calibri" w:hAnsi="Calibri" w:cs="Calibri"/>
          <w:noProof w:val="0"/>
          <w:color w:val="000000"/>
          <w:lang w:eastAsia="zh-CN"/>
        </w:rPr>
        <w:t xml:space="preserve">Javna vatrogasna postrojba Grada Požege osnovana je 2000. godine. Područje odgovornosti i djelovanja je teritorij grada Požege sa svim prigradskim naseljima sa zadaćom sudjelovanja u provedbi preventivnih mjera zaštite od požara i eksplozija, gašenja požara i spašavanja ljudi i imovine ugroženih požarom i eksplozijom, pružanje tehničke pomoći u nezgodama i opasnim situacijama te obavljanje i </w:t>
      </w:r>
      <w:r w:rsidRPr="007547F6">
        <w:rPr>
          <w:rFonts w:ascii="Calibri" w:eastAsia="Calibri" w:hAnsi="Calibri" w:cs="Calibri"/>
          <w:noProof w:val="0"/>
          <w:color w:val="000000"/>
          <w:lang w:eastAsia="zh-CN"/>
        </w:rPr>
        <w:lastRenderedPageBreak/>
        <w:t>drugih poslova u ekološkim i drugim nesrećama. Osim navedenog pruža i usluge ispumpavanja vode, usluge prijevoza vode u domaćinstva za fizičke i pravne osobe, te ostale usluge iz djelokruga osposobljenih vatrogasaca.</w:t>
      </w:r>
    </w:p>
    <w:p w14:paraId="02680E7F" w14:textId="77777777" w:rsidR="00C92A6D" w:rsidRDefault="00C92A6D" w:rsidP="007547F6">
      <w:pPr>
        <w:suppressAutoHyphens/>
        <w:ind w:firstLine="720"/>
        <w:jc w:val="both"/>
        <w:rPr>
          <w:rFonts w:ascii="Calibri" w:eastAsia="Calibri" w:hAnsi="Calibri" w:cs="Calibri"/>
          <w:noProof w:val="0"/>
          <w:color w:val="000000"/>
          <w:lang w:eastAsia="zh-CN"/>
        </w:rPr>
      </w:pPr>
    </w:p>
    <w:p w14:paraId="613D1795" w14:textId="77777777" w:rsidR="00C92A6D" w:rsidRPr="007547F6" w:rsidRDefault="00C92A6D" w:rsidP="000B3B20">
      <w:pPr>
        <w:suppressAutoHyphens/>
        <w:jc w:val="both"/>
        <w:rPr>
          <w:rFonts w:ascii="Calibri" w:eastAsia="Calibri" w:hAnsi="Calibri" w:cs="Calibri"/>
          <w:noProof w:val="0"/>
          <w:color w:val="000000"/>
          <w:lang w:eastAsia="zh-CN"/>
        </w:rPr>
      </w:pPr>
    </w:p>
    <w:p w14:paraId="1A743333" w14:textId="77777777" w:rsidR="007547F6" w:rsidRPr="007547F6" w:rsidRDefault="007547F6" w:rsidP="007547F6">
      <w:pPr>
        <w:suppressAutoHyphens/>
        <w:ind w:right="-108"/>
        <w:jc w:val="both"/>
        <w:rPr>
          <w:rFonts w:ascii="Calibri" w:eastAsia="Calibri" w:hAnsi="Calibri" w:cs="Calibri"/>
          <w:noProof w:val="0"/>
          <w:color w:val="000000"/>
          <w:lang w:eastAsia="zh-CN"/>
        </w:rPr>
      </w:pPr>
    </w:p>
    <w:tbl>
      <w:tblPr>
        <w:tblStyle w:val="Reetkatablice11"/>
        <w:tblW w:w="9243" w:type="dxa"/>
        <w:tblInd w:w="108" w:type="dxa"/>
        <w:tblLook w:val="04A0" w:firstRow="1" w:lastRow="0" w:firstColumn="1" w:lastColumn="0" w:noHBand="0" w:noVBand="1"/>
      </w:tblPr>
      <w:tblGrid>
        <w:gridCol w:w="3946"/>
        <w:gridCol w:w="1753"/>
        <w:gridCol w:w="1701"/>
        <w:gridCol w:w="1843"/>
      </w:tblGrid>
      <w:tr w:rsidR="007547F6" w:rsidRPr="007547F6" w14:paraId="48D64BDF" w14:textId="77777777" w:rsidTr="008F6591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E944" w14:textId="77777777" w:rsidR="007547F6" w:rsidRPr="007547F6" w:rsidRDefault="007547F6" w:rsidP="007547F6">
            <w:pPr>
              <w:suppressAutoHyphens/>
              <w:rPr>
                <w:rFonts w:cs="Calibri"/>
                <w:b/>
                <w:b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b/>
                <w:bCs/>
                <w:noProof w:val="0"/>
                <w:color w:val="000000"/>
                <w:lang w:eastAsia="hr-HR"/>
              </w:rPr>
              <w:t>Glava 00302 VATROGASTVO</w:t>
            </w:r>
          </w:p>
          <w:p w14:paraId="13EDC952" w14:textId="77777777" w:rsidR="007547F6" w:rsidRPr="007547F6" w:rsidRDefault="007547F6" w:rsidP="007547F6">
            <w:pPr>
              <w:suppressAutoHyphens/>
              <w:rPr>
                <w:rFonts w:cs="Calibri"/>
                <w:b/>
                <w:b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b/>
                <w:bCs/>
                <w:noProof w:val="0"/>
                <w:color w:val="000000"/>
                <w:lang w:eastAsia="hr-HR"/>
              </w:rPr>
              <w:t>32720 JAVNA VATROGASNA POSTROJBA POŽEGA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0CC2" w14:textId="77777777" w:rsidR="007547F6" w:rsidRPr="007547F6" w:rsidRDefault="007547F6" w:rsidP="007547F6">
            <w:pPr>
              <w:suppressAutoHyphens/>
              <w:jc w:val="center"/>
              <w:rPr>
                <w:rFonts w:cs="Calibri"/>
                <w:b/>
                <w:b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i/>
                <w:noProof w:val="0"/>
                <w:color w:val="000000"/>
                <w:lang w:eastAsia="zh-CN"/>
              </w:rPr>
              <w:t>IZVORNI 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2A45" w14:textId="77777777" w:rsidR="007547F6" w:rsidRPr="007547F6" w:rsidRDefault="007547F6" w:rsidP="007547F6">
            <w:pPr>
              <w:suppressAutoHyphens/>
              <w:jc w:val="center"/>
              <w:rPr>
                <w:rFonts w:cs="Calibri"/>
                <w:b/>
                <w:b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i/>
                <w:noProof w:val="0"/>
                <w:color w:val="000000"/>
                <w:lang w:eastAsia="zh-CN"/>
              </w:rPr>
              <w:t>IZVRŠENJE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70F4" w14:textId="77777777" w:rsidR="007547F6" w:rsidRPr="007547F6" w:rsidRDefault="007547F6" w:rsidP="007547F6">
            <w:pPr>
              <w:suppressAutoHyphens/>
              <w:jc w:val="center"/>
              <w:rPr>
                <w:rFonts w:cs="Calibri"/>
                <w:i/>
                <w:noProof w:val="0"/>
                <w:color w:val="000000"/>
                <w:lang w:eastAsia="zh-CN"/>
              </w:rPr>
            </w:pPr>
            <w:r w:rsidRPr="007547F6">
              <w:rPr>
                <w:rFonts w:cs="Calibri"/>
                <w:i/>
                <w:noProof w:val="0"/>
                <w:color w:val="000000"/>
                <w:lang w:eastAsia="zh-CN"/>
              </w:rPr>
              <w:t>INDEKS</w:t>
            </w:r>
          </w:p>
          <w:p w14:paraId="314F4351" w14:textId="77777777" w:rsidR="007547F6" w:rsidRPr="007547F6" w:rsidRDefault="007547F6" w:rsidP="007547F6">
            <w:pPr>
              <w:suppressAutoHyphens/>
              <w:jc w:val="center"/>
              <w:rPr>
                <w:rFonts w:cs="Calibri"/>
                <w:b/>
                <w:b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i/>
                <w:noProof w:val="0"/>
                <w:color w:val="000000"/>
                <w:lang w:eastAsia="zh-CN"/>
              </w:rPr>
              <w:t>izvorni plan/ izvršenje</w:t>
            </w:r>
          </w:p>
        </w:tc>
      </w:tr>
      <w:tr w:rsidR="007547F6" w:rsidRPr="007547F6" w14:paraId="0F24A271" w14:textId="77777777" w:rsidTr="00A76AF7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94DC" w14:textId="77777777" w:rsidR="007547F6" w:rsidRPr="007547F6" w:rsidRDefault="007547F6" w:rsidP="007547F6">
            <w:pPr>
              <w:suppressAutoHyphens/>
              <w:rPr>
                <w:rFonts w:cs="Calibri"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noProof w:val="0"/>
                <w:color w:val="000000"/>
                <w:lang w:eastAsia="hr-HR"/>
              </w:rPr>
              <w:t xml:space="preserve">Korisnik K010 </w:t>
            </w:r>
            <w:r w:rsidRPr="007547F6">
              <w:rPr>
                <w:rFonts w:cs="Calibri"/>
                <w:i/>
                <w:iCs/>
                <w:noProof w:val="0"/>
                <w:color w:val="000000"/>
                <w:lang w:eastAsia="hr-HR"/>
              </w:rPr>
              <w:t>JAVNA VATROGASNA POSTROJBA GRADA POŽEGE</w:t>
            </w:r>
          </w:p>
        </w:tc>
        <w:tc>
          <w:tcPr>
            <w:tcW w:w="1753" w:type="dxa"/>
            <w:noWrap/>
            <w:vAlign w:val="center"/>
          </w:tcPr>
          <w:p w14:paraId="36409683" w14:textId="3C6AFC65" w:rsidR="007547F6" w:rsidRPr="007547F6" w:rsidRDefault="007547F6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zh-CN"/>
              </w:rPr>
            </w:pPr>
            <w:r>
              <w:t>1.059</w:t>
            </w:r>
            <w:r w:rsidRPr="00504060">
              <w:t>.</w:t>
            </w:r>
            <w:r>
              <w:t>572</w:t>
            </w:r>
            <w:r w:rsidRPr="00504060">
              <w:t>,00</w:t>
            </w:r>
          </w:p>
        </w:tc>
        <w:tc>
          <w:tcPr>
            <w:tcW w:w="1701" w:type="dxa"/>
            <w:noWrap/>
            <w:vAlign w:val="center"/>
          </w:tcPr>
          <w:p w14:paraId="66DAEA37" w14:textId="157D05F6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zh-CN"/>
              </w:rPr>
            </w:pPr>
            <w:r>
              <w:t>1.026</w:t>
            </w:r>
            <w:r w:rsidR="007547F6" w:rsidRPr="00504060">
              <w:t>.</w:t>
            </w:r>
            <w:r>
              <w:t>074</w:t>
            </w:r>
            <w:r w:rsidR="007547F6" w:rsidRPr="00504060">
              <w:t>,</w:t>
            </w:r>
            <w:r>
              <w:t>46</w:t>
            </w:r>
          </w:p>
        </w:tc>
        <w:tc>
          <w:tcPr>
            <w:tcW w:w="1843" w:type="dxa"/>
            <w:noWrap/>
            <w:vAlign w:val="center"/>
          </w:tcPr>
          <w:p w14:paraId="77583CE2" w14:textId="572E3383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zh-CN"/>
              </w:rPr>
            </w:pPr>
            <w:r>
              <w:t>96</w:t>
            </w:r>
            <w:r w:rsidR="007547F6" w:rsidRPr="00504060">
              <w:t>,</w:t>
            </w:r>
            <w:r>
              <w:t>84</w:t>
            </w:r>
          </w:p>
        </w:tc>
      </w:tr>
      <w:tr w:rsidR="007547F6" w:rsidRPr="007547F6" w14:paraId="39B324C7" w14:textId="77777777" w:rsidTr="00A76AF7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71BE" w14:textId="77777777" w:rsidR="007547F6" w:rsidRPr="007547F6" w:rsidRDefault="007547F6" w:rsidP="007547F6">
            <w:pPr>
              <w:suppressAutoHyphens/>
              <w:rPr>
                <w:rFonts w:cs="Calibri"/>
                <w:i/>
                <w:i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i/>
                <w:iCs/>
                <w:noProof w:val="0"/>
                <w:color w:val="000000"/>
                <w:lang w:eastAsia="hr-HR"/>
              </w:rPr>
              <w:t>PROGRAM 1700 REDOVNA DJELATNOST JAVNE VATROGASNE POSTROJBE</w:t>
            </w:r>
          </w:p>
        </w:tc>
        <w:tc>
          <w:tcPr>
            <w:tcW w:w="1753" w:type="dxa"/>
            <w:noWrap/>
            <w:vAlign w:val="center"/>
            <w:hideMark/>
          </w:tcPr>
          <w:p w14:paraId="26B02B57" w14:textId="69A8325D" w:rsidR="007547F6" w:rsidRPr="007547F6" w:rsidRDefault="0040617F" w:rsidP="0040617F">
            <w:pPr>
              <w:suppressAutoHyphens/>
              <w:jc w:val="center"/>
              <w:rPr>
                <w:rFonts w:cs="Calibri"/>
                <w:i/>
                <w:iCs/>
                <w:noProof w:val="0"/>
                <w:color w:val="000000"/>
                <w:lang w:eastAsia="hr-HR"/>
              </w:rPr>
            </w:pPr>
            <w:r>
              <w:t>402</w:t>
            </w:r>
            <w:r w:rsidR="007547F6" w:rsidRPr="00504060">
              <w:t>.</w:t>
            </w:r>
            <w:r>
              <w:t>805</w:t>
            </w:r>
            <w:r w:rsidR="007547F6" w:rsidRPr="00504060">
              <w:t>,00</w:t>
            </w:r>
          </w:p>
        </w:tc>
        <w:tc>
          <w:tcPr>
            <w:tcW w:w="1701" w:type="dxa"/>
            <w:noWrap/>
            <w:vAlign w:val="center"/>
          </w:tcPr>
          <w:p w14:paraId="4F7B6D9D" w14:textId="4894CDB8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402</w:t>
            </w:r>
            <w:r w:rsidR="007547F6" w:rsidRPr="00504060">
              <w:t>.</w:t>
            </w:r>
            <w:r>
              <w:t>805</w:t>
            </w:r>
            <w:r w:rsidR="007547F6" w:rsidRPr="00504060">
              <w:t>,</w:t>
            </w:r>
            <w:r>
              <w:t>0</w:t>
            </w:r>
            <w:r w:rsidR="007547F6">
              <w:t>0</w:t>
            </w:r>
          </w:p>
        </w:tc>
        <w:tc>
          <w:tcPr>
            <w:tcW w:w="1843" w:type="dxa"/>
            <w:noWrap/>
            <w:vAlign w:val="center"/>
          </w:tcPr>
          <w:p w14:paraId="4D29050A" w14:textId="5420CF51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100</w:t>
            </w:r>
            <w:r w:rsidR="007547F6" w:rsidRPr="00504060">
              <w:t>,</w:t>
            </w:r>
            <w:r>
              <w:t>0</w:t>
            </w:r>
            <w:r w:rsidR="007547F6">
              <w:t>0</w:t>
            </w:r>
          </w:p>
        </w:tc>
      </w:tr>
      <w:tr w:rsidR="007547F6" w:rsidRPr="007547F6" w14:paraId="744D4622" w14:textId="77777777" w:rsidTr="00A76AF7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BF76" w14:textId="77777777" w:rsidR="007547F6" w:rsidRPr="007547F6" w:rsidRDefault="007547F6" w:rsidP="007547F6">
            <w:pPr>
              <w:suppressAutoHyphens/>
              <w:rPr>
                <w:rFonts w:cs="Calibri"/>
                <w:i/>
                <w:iCs/>
                <w:noProof w:val="0"/>
                <w:color w:val="000000"/>
                <w:lang w:eastAsia="hr-HR"/>
              </w:rPr>
            </w:pPr>
            <w:r w:rsidRPr="007547F6">
              <w:rPr>
                <w:rFonts w:cs="Calibri"/>
                <w:i/>
                <w:iCs/>
                <w:noProof w:val="0"/>
                <w:color w:val="000000"/>
                <w:lang w:eastAsia="hr-HR"/>
              </w:rPr>
              <w:t>PROGRAM 1800 REDOVNA DJELATNOST JAVNE VATROGASNE POSTROJBE</w:t>
            </w:r>
          </w:p>
        </w:tc>
        <w:tc>
          <w:tcPr>
            <w:tcW w:w="1753" w:type="dxa"/>
            <w:noWrap/>
            <w:vAlign w:val="center"/>
            <w:hideMark/>
          </w:tcPr>
          <w:p w14:paraId="3A3BCB30" w14:textId="74A11018" w:rsidR="007547F6" w:rsidRPr="007547F6" w:rsidRDefault="0040617F" w:rsidP="0040617F">
            <w:pPr>
              <w:suppressAutoHyphens/>
              <w:jc w:val="center"/>
              <w:rPr>
                <w:rFonts w:cs="Calibri"/>
                <w:i/>
                <w:iCs/>
                <w:noProof w:val="0"/>
                <w:color w:val="000000"/>
                <w:lang w:eastAsia="hr-HR"/>
              </w:rPr>
            </w:pPr>
            <w:r>
              <w:t>656</w:t>
            </w:r>
            <w:r w:rsidR="007547F6" w:rsidRPr="00504060">
              <w:t>.</w:t>
            </w:r>
            <w:r>
              <w:t>767</w:t>
            </w:r>
            <w:r w:rsidR="007547F6" w:rsidRPr="00504060">
              <w:t>,00</w:t>
            </w:r>
          </w:p>
        </w:tc>
        <w:tc>
          <w:tcPr>
            <w:tcW w:w="1701" w:type="dxa"/>
            <w:noWrap/>
            <w:vAlign w:val="center"/>
          </w:tcPr>
          <w:p w14:paraId="22EEC88E" w14:textId="7949B6B3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623</w:t>
            </w:r>
            <w:r w:rsidR="007547F6" w:rsidRPr="00504060">
              <w:t>.</w:t>
            </w:r>
            <w:r>
              <w:t>269</w:t>
            </w:r>
            <w:r w:rsidR="007547F6" w:rsidRPr="00504060">
              <w:t>,</w:t>
            </w:r>
            <w:r>
              <w:t>46</w:t>
            </w:r>
          </w:p>
        </w:tc>
        <w:tc>
          <w:tcPr>
            <w:tcW w:w="1843" w:type="dxa"/>
            <w:noWrap/>
            <w:vAlign w:val="center"/>
          </w:tcPr>
          <w:p w14:paraId="3D90BA71" w14:textId="2707782A" w:rsidR="007547F6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94</w:t>
            </w:r>
            <w:r w:rsidR="007547F6" w:rsidRPr="00504060">
              <w:t>,</w:t>
            </w:r>
            <w:r>
              <w:t>9</w:t>
            </w:r>
            <w:r w:rsidR="007547F6" w:rsidRPr="00504060">
              <w:t>0</w:t>
            </w:r>
          </w:p>
        </w:tc>
      </w:tr>
      <w:tr w:rsidR="0040617F" w:rsidRPr="007547F6" w14:paraId="118ABFA4" w14:textId="77777777" w:rsidTr="00A76AF7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B85DA" w14:textId="702395C9" w:rsidR="0040617F" w:rsidRPr="007547F6" w:rsidRDefault="0040617F" w:rsidP="0040617F">
            <w:pPr>
              <w:suppressAutoHyphens/>
              <w:rPr>
                <w:rFonts w:cs="Calibri"/>
                <w:noProof w:val="0"/>
                <w:color w:val="000000"/>
                <w:lang w:eastAsia="hr-HR"/>
              </w:rPr>
            </w:pPr>
            <w:r>
              <w:rPr>
                <w:rFonts w:cs="Calibri"/>
                <w:noProof w:val="0"/>
                <w:color w:val="000000"/>
                <w:lang w:eastAsia="hr-HR"/>
              </w:rPr>
              <w:t>UKUPNO</w:t>
            </w:r>
          </w:p>
        </w:tc>
        <w:tc>
          <w:tcPr>
            <w:tcW w:w="1753" w:type="dxa"/>
            <w:noWrap/>
            <w:vAlign w:val="center"/>
          </w:tcPr>
          <w:p w14:paraId="694ADB21" w14:textId="490609CB" w:rsidR="0040617F" w:rsidRPr="007547F6" w:rsidRDefault="0040617F" w:rsidP="0040617F">
            <w:pPr>
              <w:suppressAutoHyphens/>
              <w:jc w:val="center"/>
              <w:rPr>
                <w:rFonts w:cs="Calibri"/>
                <w:i/>
                <w:iCs/>
                <w:noProof w:val="0"/>
                <w:color w:val="000000"/>
                <w:lang w:eastAsia="hr-HR"/>
              </w:rPr>
            </w:pPr>
            <w:r>
              <w:t>1.059</w:t>
            </w:r>
            <w:r w:rsidRPr="00504060">
              <w:t>.</w:t>
            </w:r>
            <w:r>
              <w:t>572</w:t>
            </w:r>
            <w:r w:rsidRPr="00504060">
              <w:t>,00</w:t>
            </w:r>
          </w:p>
        </w:tc>
        <w:tc>
          <w:tcPr>
            <w:tcW w:w="1701" w:type="dxa"/>
            <w:noWrap/>
            <w:vAlign w:val="center"/>
          </w:tcPr>
          <w:p w14:paraId="77C56025" w14:textId="66649AB5" w:rsidR="0040617F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1.026</w:t>
            </w:r>
            <w:r w:rsidRPr="00504060">
              <w:t>.</w:t>
            </w:r>
            <w:r>
              <w:t>074</w:t>
            </w:r>
            <w:r w:rsidRPr="00504060">
              <w:t>,</w:t>
            </w:r>
            <w:r>
              <w:t>46</w:t>
            </w:r>
          </w:p>
        </w:tc>
        <w:tc>
          <w:tcPr>
            <w:tcW w:w="1843" w:type="dxa"/>
            <w:noWrap/>
            <w:vAlign w:val="center"/>
          </w:tcPr>
          <w:p w14:paraId="6A065F81" w14:textId="7AA6BCDC" w:rsidR="0040617F" w:rsidRPr="007547F6" w:rsidRDefault="0040617F" w:rsidP="0040617F">
            <w:pPr>
              <w:suppressAutoHyphens/>
              <w:jc w:val="center"/>
              <w:rPr>
                <w:rFonts w:cs="Calibri"/>
                <w:noProof w:val="0"/>
                <w:color w:val="000000"/>
                <w:lang w:eastAsia="hr-HR"/>
              </w:rPr>
            </w:pPr>
            <w:r>
              <w:t>96</w:t>
            </w:r>
            <w:r w:rsidRPr="00504060">
              <w:t>,</w:t>
            </w:r>
            <w:r>
              <w:t>84</w:t>
            </w:r>
          </w:p>
        </w:tc>
      </w:tr>
    </w:tbl>
    <w:p w14:paraId="27885EA5" w14:textId="77777777" w:rsidR="00654F59" w:rsidRDefault="00654F59" w:rsidP="00504060">
      <w:pPr>
        <w:pStyle w:val="Bezproreda"/>
        <w:rPr>
          <w:color w:val="000000"/>
        </w:rPr>
      </w:pPr>
    </w:p>
    <w:p w14:paraId="7328F10E" w14:textId="77777777" w:rsidR="00102778" w:rsidRDefault="00102778" w:rsidP="00504060">
      <w:pPr>
        <w:pStyle w:val="Bezproreda"/>
        <w:rPr>
          <w:color w:val="000000"/>
        </w:rPr>
      </w:pPr>
    </w:p>
    <w:p w14:paraId="3F19AA1A" w14:textId="732FE4FD" w:rsidR="00102778" w:rsidRDefault="00102778" w:rsidP="00102778">
      <w:pPr>
        <w:ind w:left="705"/>
      </w:pPr>
      <w:r w:rsidRPr="00504060">
        <w:t>3.1</w:t>
      </w:r>
      <w:r w:rsidRPr="006C1A55">
        <w:rPr>
          <w:color w:val="EE0000"/>
        </w:rPr>
        <w:t xml:space="preserve">.  </w:t>
      </w:r>
      <w:r w:rsidRPr="00D4510B">
        <w:t>POSEBNI DIO – IZVRŠENJE PO PROGRAMSKOJ KLASIFIKACIJI</w:t>
      </w:r>
    </w:p>
    <w:p w14:paraId="368D5845" w14:textId="77777777" w:rsidR="00504060" w:rsidRDefault="00504060" w:rsidP="00504060">
      <w:pPr>
        <w:pStyle w:val="Bezproreda"/>
        <w:rPr>
          <w:color w:val="000000"/>
        </w:rPr>
      </w:pPr>
    </w:p>
    <w:p w14:paraId="7D84735C" w14:textId="77777777" w:rsidR="00102778" w:rsidRPr="00504060" w:rsidRDefault="00102778" w:rsidP="00504060">
      <w:pPr>
        <w:pStyle w:val="Bezproreda"/>
        <w:rPr>
          <w:color w:val="000000"/>
        </w:rPr>
      </w:pPr>
    </w:p>
    <w:p w14:paraId="6780265B" w14:textId="52E46C4A" w:rsidR="00504060" w:rsidRPr="00504060" w:rsidRDefault="00504060" w:rsidP="00504060">
      <w:pPr>
        <w:pStyle w:val="Bezproreda"/>
        <w:rPr>
          <w:color w:val="000000"/>
        </w:rPr>
      </w:pPr>
      <w:r w:rsidRPr="00504060">
        <w:rPr>
          <w:color w:val="000000"/>
        </w:rPr>
        <w:tab/>
        <w:t xml:space="preserve">Programi Javne vatrogasne postrojbe Grada Požege planirani su kroz Upravni odjel za komunalne djelatnosti i gospodarenje </w:t>
      </w:r>
      <w:r w:rsidR="00E74D57">
        <w:rPr>
          <w:color w:val="000000"/>
        </w:rPr>
        <w:t xml:space="preserve">Grada Požege </w:t>
      </w:r>
      <w:r w:rsidRPr="00504060">
        <w:rPr>
          <w:color w:val="000000"/>
        </w:rPr>
        <w:t xml:space="preserve">u iznosu od </w:t>
      </w:r>
      <w:r w:rsidR="00E74D57" w:rsidRPr="00E74D57">
        <w:rPr>
          <w:color w:val="000000"/>
        </w:rPr>
        <w:t>1.059.572,00</w:t>
      </w:r>
      <w:r w:rsidR="00E74D57">
        <w:rPr>
          <w:color w:val="000000"/>
        </w:rPr>
        <w:t xml:space="preserve"> </w:t>
      </w:r>
      <w:r w:rsidR="00E74D57">
        <w:rPr>
          <w:rFonts w:cstheme="minorHAnsi"/>
          <w:color w:val="000000"/>
        </w:rPr>
        <w:t>€</w:t>
      </w:r>
      <w:r w:rsidRPr="00504060">
        <w:rPr>
          <w:color w:val="000000"/>
        </w:rPr>
        <w:t xml:space="preserve">, a realizirani su u iznosu </w:t>
      </w:r>
      <w:r w:rsidR="00E74D57" w:rsidRPr="00E74D57">
        <w:rPr>
          <w:color w:val="000000"/>
        </w:rPr>
        <w:t>943.787,80</w:t>
      </w:r>
      <w:r w:rsidR="00E74D57">
        <w:rPr>
          <w:color w:val="000000"/>
        </w:rPr>
        <w:t xml:space="preserve"> </w:t>
      </w:r>
      <w:r w:rsidR="00E74D57">
        <w:rPr>
          <w:rFonts w:cstheme="minorHAnsi"/>
          <w:color w:val="000000"/>
        </w:rPr>
        <w:t>€</w:t>
      </w:r>
      <w:r w:rsidRPr="00504060">
        <w:rPr>
          <w:color w:val="000000"/>
        </w:rPr>
        <w:t xml:space="preserve">. </w:t>
      </w:r>
    </w:p>
    <w:p w14:paraId="3A4C625A" w14:textId="77777777" w:rsidR="00504060" w:rsidRPr="00504060" w:rsidRDefault="00504060" w:rsidP="00504060">
      <w:pPr>
        <w:pStyle w:val="Bezproreda"/>
        <w:rPr>
          <w:color w:val="000000"/>
        </w:rPr>
      </w:pPr>
    </w:p>
    <w:p w14:paraId="1F65E2C0" w14:textId="77777777" w:rsidR="00504060" w:rsidRDefault="00504060" w:rsidP="00504060">
      <w:pPr>
        <w:ind w:right="-108" w:firstLine="567"/>
        <w:jc w:val="both"/>
        <w:rPr>
          <w:color w:val="000000" w:themeColor="text1"/>
        </w:rPr>
      </w:pPr>
      <w:r w:rsidRPr="00504060">
        <w:rPr>
          <w:color w:val="000000"/>
        </w:rPr>
        <w:tab/>
      </w:r>
      <w:r w:rsidRPr="00504060">
        <w:rPr>
          <w:color w:val="000000" w:themeColor="text1"/>
        </w:rPr>
        <w:t>Javna vatrogasna postrojba Grada Požege osnovana je 2000. godine. Područje odgovornosti i djelovanja je teritorij grada Požege sa svim prigradskim naseljima sa zadaćom sudjelovanja u provedbi preventivnih mjera zaštite od požara i eksplozija, gašenja požara i spašavanja ljudi i imovine ugroženih požarom i eksplozijom, pružanje tehničke pomoći u nezgodama i opasnim situacijama te obavljanje i drugih poslova u ekološkim i drugim nesrećama. Osim navedenog pruža i usluge ispumpavanja vode, usluge prijevoza vode u domaćinstva za fizičke i pravne osobe, te ostale usluge iz djelokruga osposobljenih vatrogasaca.</w:t>
      </w:r>
    </w:p>
    <w:p w14:paraId="619BE03E" w14:textId="77777777" w:rsidR="006C1A55" w:rsidRPr="00504060" w:rsidRDefault="006C1A55" w:rsidP="00504060">
      <w:pPr>
        <w:ind w:right="-108" w:firstLine="567"/>
        <w:jc w:val="both"/>
        <w:rPr>
          <w:color w:val="000000" w:themeColor="text1"/>
        </w:rPr>
      </w:pPr>
    </w:p>
    <w:p w14:paraId="22B8A13D" w14:textId="77777777" w:rsidR="00504060" w:rsidRDefault="00504060" w:rsidP="00504060">
      <w:pPr>
        <w:ind w:right="-108"/>
        <w:jc w:val="both"/>
        <w:rPr>
          <w:b/>
          <w:bCs/>
          <w:color w:val="000000" w:themeColor="text1"/>
        </w:rPr>
      </w:pPr>
      <w:r w:rsidRPr="00504060">
        <w:rPr>
          <w:b/>
          <w:bCs/>
          <w:color w:val="000000" w:themeColor="text1"/>
        </w:rPr>
        <w:t xml:space="preserve">NAZIV PROGRAMA 1700 REDOVNA DJELATNOST JAVNE VATROGASNE POSTROJBE – ZAKONSKI STANDARD </w:t>
      </w:r>
    </w:p>
    <w:p w14:paraId="2F735834" w14:textId="77777777" w:rsidR="00D4510B" w:rsidRPr="00504060" w:rsidRDefault="00D4510B" w:rsidP="00504060">
      <w:pPr>
        <w:ind w:right="-108"/>
        <w:jc w:val="both"/>
        <w:rPr>
          <w:b/>
          <w:bCs/>
          <w:color w:val="000000" w:themeColor="text1"/>
        </w:rPr>
      </w:pPr>
    </w:p>
    <w:p w14:paraId="200E718F" w14:textId="31072142" w:rsidR="00504060" w:rsidRDefault="00504060" w:rsidP="00504060">
      <w:pPr>
        <w:ind w:right="-108" w:firstLine="567"/>
        <w:jc w:val="both"/>
        <w:rPr>
          <w:color w:val="000000" w:themeColor="text1"/>
        </w:rPr>
      </w:pPr>
      <w:r w:rsidRPr="00504060">
        <w:rPr>
          <w:color w:val="000000" w:themeColor="text1"/>
        </w:rPr>
        <w:t>Program zakonskog standarda financira se na temelju Odluke o minimalnim financijskim standardima za decentralizirano financiranje redovite djelatnosti Javne vatrogasne postrojbe</w:t>
      </w:r>
      <w:r w:rsidR="00D53DFC">
        <w:rPr>
          <w:color w:val="000000" w:themeColor="text1"/>
        </w:rPr>
        <w:t xml:space="preserve"> Grada Požege za</w:t>
      </w:r>
      <w:r w:rsidRPr="00504060">
        <w:rPr>
          <w:color w:val="000000" w:themeColor="text1"/>
        </w:rPr>
        <w:t xml:space="preserve"> 202</w:t>
      </w:r>
      <w:r w:rsidR="00D53DFC">
        <w:rPr>
          <w:color w:val="000000" w:themeColor="text1"/>
        </w:rPr>
        <w:t>5</w:t>
      </w:r>
      <w:r w:rsidRPr="00504060">
        <w:rPr>
          <w:color w:val="000000" w:themeColor="text1"/>
        </w:rPr>
        <w:t>. godin</w:t>
      </w:r>
      <w:r w:rsidR="00D53DFC">
        <w:rPr>
          <w:color w:val="000000" w:themeColor="text1"/>
        </w:rPr>
        <w:t>u</w:t>
      </w:r>
      <w:r w:rsidRPr="00504060">
        <w:rPr>
          <w:color w:val="000000" w:themeColor="text1"/>
        </w:rPr>
        <w:t>, a odnosi se na protupožarnu zaštitu i razvoj svih komponenti vatrogasnog sustava kroz osiguranje spremnosti i pripravnost vatrogasne postrojbe, razvoj tehničko-tehnološke opremljenosti i djelotvornog sustava, praćenja rada, dojave i uzbunjivanja, unapređenje protupožarne preventive i skrb o pomlađivanju i jačanje društvenog statusa vatrogasne organizacije.</w:t>
      </w:r>
    </w:p>
    <w:p w14:paraId="5C0C2E67" w14:textId="77777777" w:rsidR="00C92A6D" w:rsidRPr="00504060" w:rsidRDefault="00C92A6D" w:rsidP="00504060">
      <w:pPr>
        <w:ind w:right="-108" w:firstLine="567"/>
        <w:jc w:val="both"/>
        <w:rPr>
          <w:color w:val="000000" w:themeColor="text1"/>
        </w:rPr>
      </w:pPr>
    </w:p>
    <w:p w14:paraId="652750F7" w14:textId="77777777" w:rsidR="00504060" w:rsidRPr="00504060" w:rsidRDefault="00504060" w:rsidP="00504060">
      <w:pPr>
        <w:tabs>
          <w:tab w:val="left" w:pos="851"/>
        </w:tabs>
        <w:ind w:right="-108"/>
        <w:jc w:val="both"/>
        <w:rPr>
          <w:b/>
        </w:rPr>
      </w:pPr>
      <w:r w:rsidRPr="00504060">
        <w:rPr>
          <w:b/>
        </w:rPr>
        <w:t>Zakonska osnova za uvođenje programa</w:t>
      </w:r>
    </w:p>
    <w:p w14:paraId="74C133EB" w14:textId="77777777" w:rsidR="00C92A6D" w:rsidRPr="00FF1932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FF1932">
        <w:rPr>
          <w:rFonts w:cstheme="minorHAnsi"/>
          <w:color w:val="000000" w:themeColor="text1"/>
        </w:rPr>
        <w:t>Zakon o vatrogastvu (Narodne novine, broj: 125/19. i 114/22.),</w:t>
      </w:r>
    </w:p>
    <w:p w14:paraId="32F1C2D8" w14:textId="77777777" w:rsidR="00C92A6D" w:rsidRPr="00FF1932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FF1932">
        <w:rPr>
          <w:rFonts w:cstheme="minorHAnsi"/>
          <w:color w:val="000000" w:themeColor="text1"/>
        </w:rPr>
        <w:t>Zakon o zaštiti od požara (Narodne novine, broj: 92/10. i 114/22.) i</w:t>
      </w:r>
    </w:p>
    <w:p w14:paraId="7FCCB7B3" w14:textId="77777777" w:rsidR="00C92A6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FF1932">
        <w:rPr>
          <w:rFonts w:cstheme="minorHAnsi"/>
          <w:color w:val="000000" w:themeColor="text1"/>
        </w:rPr>
        <w:lastRenderedPageBreak/>
        <w:t>Pravilnik o ustroju, opremanju, osposobljavanju, načinu pokretanja i djelovanja intervencijskih vatrogasnih postrojbi te naknadi troškova nastalih njihovim djelovanjem (Narodne novine, broj: 31/11.).</w:t>
      </w:r>
    </w:p>
    <w:p w14:paraId="24C2E5CC" w14:textId="77777777" w:rsidR="00504060" w:rsidRPr="00504060" w:rsidRDefault="00504060" w:rsidP="00504060">
      <w:pPr>
        <w:ind w:right="-108"/>
        <w:jc w:val="both"/>
        <w:rPr>
          <w:color w:val="000000" w:themeColor="text1"/>
        </w:rPr>
      </w:pPr>
    </w:p>
    <w:p w14:paraId="61640847" w14:textId="6A59E790" w:rsidR="00504060" w:rsidRDefault="00504060" w:rsidP="00504060">
      <w:pPr>
        <w:ind w:right="-108"/>
        <w:jc w:val="both"/>
        <w:rPr>
          <w:color w:val="FF0000"/>
        </w:rPr>
      </w:pPr>
    </w:p>
    <w:p w14:paraId="6F908E57" w14:textId="77777777" w:rsidR="00C92A6D" w:rsidRDefault="00C92A6D" w:rsidP="00504060">
      <w:pPr>
        <w:ind w:right="-108"/>
        <w:jc w:val="both"/>
        <w:rPr>
          <w:color w:val="FF0000"/>
        </w:rPr>
      </w:pPr>
    </w:p>
    <w:tbl>
      <w:tblPr>
        <w:tblStyle w:val="Reetkatablice1"/>
        <w:tblW w:w="9351" w:type="dxa"/>
        <w:tblInd w:w="0" w:type="dxa"/>
        <w:tblLook w:val="04A0" w:firstRow="1" w:lastRow="0" w:firstColumn="1" w:lastColumn="0" w:noHBand="0" w:noVBand="1"/>
      </w:tblPr>
      <w:tblGrid>
        <w:gridCol w:w="3946"/>
        <w:gridCol w:w="1861"/>
        <w:gridCol w:w="1701"/>
        <w:gridCol w:w="1843"/>
      </w:tblGrid>
      <w:tr w:rsidR="00C92A6D" w:rsidRPr="008E0CBD" w14:paraId="196DC6A4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EB32" w14:textId="77777777" w:rsidR="00C92A6D" w:rsidRPr="008E0CBD" w:rsidRDefault="00C92A6D" w:rsidP="00C662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  <w:t>PROGRAM 1700 REDOVNA DJELATNOST JAVNE VATROGASNE POSTROJBE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C251" w14:textId="77777777" w:rsidR="00C92A6D" w:rsidRPr="008E0CBD" w:rsidRDefault="00C92A6D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IZVORNI 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7FA8" w14:textId="77777777" w:rsidR="00C92A6D" w:rsidRPr="008E0CBD" w:rsidRDefault="00C92A6D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IZVRŠENJE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2EE5" w14:textId="77777777" w:rsidR="00C92A6D" w:rsidRPr="008E0CBD" w:rsidRDefault="00C92A6D" w:rsidP="00C662F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INDEKS</w:t>
            </w:r>
          </w:p>
          <w:p w14:paraId="14D3B906" w14:textId="77777777" w:rsidR="00C92A6D" w:rsidRPr="008E0CBD" w:rsidRDefault="00C92A6D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izvorni plan/ izvršenje</w:t>
            </w:r>
          </w:p>
        </w:tc>
      </w:tr>
      <w:tr w:rsidR="00C92A6D" w:rsidRPr="008E0CBD" w14:paraId="6739AF8B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428B" w14:textId="77777777" w:rsidR="00C92A6D" w:rsidRPr="008E0CBD" w:rsidRDefault="00C92A6D" w:rsidP="00C662F5">
            <w:pPr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color w:val="000000" w:themeColor="text1"/>
                <w:lang w:eastAsia="hr-HR"/>
              </w:rPr>
              <w:t>Aktivnost A170001 OSNOVNA AKTIVNOST JAVNE VATROGASNE POSTROJBE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47B" w14:textId="77777777" w:rsidR="00C92A6D" w:rsidRPr="00D4510B" w:rsidRDefault="00C92A6D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402.805,00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FF2F" w14:textId="798EEFBD" w:rsidR="00C92A6D" w:rsidRPr="00D4510B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402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.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805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995F" w14:textId="2158C4A4" w:rsidR="00C92A6D" w:rsidRPr="00D4510B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100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</w:t>
            </w:r>
          </w:p>
        </w:tc>
      </w:tr>
      <w:tr w:rsidR="00C92A6D" w:rsidRPr="008E0CBD" w14:paraId="6F205215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06620" w14:textId="77777777" w:rsidR="00C92A6D" w:rsidRPr="008E0CBD" w:rsidRDefault="00C92A6D" w:rsidP="00C662F5">
            <w:pPr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color w:val="000000" w:themeColor="text1"/>
                <w:lang w:eastAsia="hr-HR"/>
              </w:rPr>
              <w:t>UKUPNO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B26B" w14:textId="77777777" w:rsidR="00C92A6D" w:rsidRPr="00D4510B" w:rsidRDefault="00C92A6D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402.805,00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6FB7" w14:textId="22062BE8" w:rsidR="00C92A6D" w:rsidRPr="00D4510B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402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.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805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85D7" w14:textId="13072FDE" w:rsidR="00C92A6D" w:rsidRPr="00D4510B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100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</w:t>
            </w:r>
            <w:r w:rsidR="00C92A6D" w:rsidRP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0</w:t>
            </w:r>
          </w:p>
        </w:tc>
      </w:tr>
    </w:tbl>
    <w:p w14:paraId="161560F2" w14:textId="4D34F164" w:rsidR="00504060" w:rsidRDefault="00504060" w:rsidP="00504060">
      <w:pPr>
        <w:ind w:right="-108"/>
        <w:jc w:val="both"/>
        <w:rPr>
          <w:color w:val="FF0000"/>
        </w:rPr>
      </w:pPr>
    </w:p>
    <w:p w14:paraId="505846EA" w14:textId="77777777" w:rsidR="00504060" w:rsidRPr="00504060" w:rsidRDefault="00504060" w:rsidP="00504060">
      <w:pPr>
        <w:ind w:right="-108"/>
        <w:jc w:val="both"/>
        <w:rPr>
          <w:color w:val="FF0000"/>
        </w:rPr>
      </w:pPr>
    </w:p>
    <w:p w14:paraId="559E73CB" w14:textId="77777777" w:rsidR="00504060" w:rsidRPr="00504060" w:rsidRDefault="00504060" w:rsidP="00504060">
      <w:pPr>
        <w:ind w:right="-108"/>
        <w:jc w:val="both"/>
      </w:pPr>
      <w:r w:rsidRPr="00504060">
        <w:rPr>
          <w:b/>
          <w:bCs/>
        </w:rPr>
        <w:t>Osnovna aktivnost Javne vatrogasne postrojbe</w:t>
      </w:r>
      <w:r w:rsidRPr="00504060">
        <w:t xml:space="preserve"> odnosi se na rashode za zaposlene, materijalne i financijske rashode koji su neophodni za redovno obavljanje djelatnosti.</w:t>
      </w:r>
    </w:p>
    <w:p w14:paraId="3ACD1115" w14:textId="77777777" w:rsidR="00504060" w:rsidRPr="00504060" w:rsidRDefault="00504060" w:rsidP="00504060">
      <w:pPr>
        <w:ind w:right="-108"/>
        <w:jc w:val="both"/>
        <w:rPr>
          <w:color w:val="FF0000"/>
        </w:rPr>
      </w:pPr>
    </w:p>
    <w:tbl>
      <w:tblPr>
        <w:tblW w:w="51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056"/>
        <w:gridCol w:w="912"/>
        <w:gridCol w:w="1097"/>
        <w:gridCol w:w="1364"/>
        <w:gridCol w:w="1366"/>
      </w:tblGrid>
      <w:tr w:rsidR="00C92A6D" w:rsidRPr="008E0CBD" w14:paraId="6E26693B" w14:textId="77777777" w:rsidTr="00C92A6D">
        <w:trPr>
          <w:trHeight w:val="636"/>
        </w:trPr>
        <w:tc>
          <w:tcPr>
            <w:tcW w:w="82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F15E0B9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Pokazatelj uspješnosti</w:t>
            </w:r>
          </w:p>
        </w:tc>
        <w:tc>
          <w:tcPr>
            <w:tcW w:w="1635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55AE5DC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Definicija</w:t>
            </w:r>
          </w:p>
        </w:tc>
        <w:tc>
          <w:tcPr>
            <w:tcW w:w="488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B30FBCB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Jedinica</w:t>
            </w:r>
          </w:p>
        </w:tc>
        <w:tc>
          <w:tcPr>
            <w:tcW w:w="587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138708B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Polazna vrijednost</w:t>
            </w:r>
          </w:p>
        </w:tc>
        <w:tc>
          <w:tcPr>
            <w:tcW w:w="730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D423726" w14:textId="77777777" w:rsidR="00C92A6D" w:rsidRPr="008E0CBD" w:rsidRDefault="00C92A6D" w:rsidP="00C662F5">
            <w:pPr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IZVORNI PLAN</w:t>
            </w:r>
          </w:p>
          <w:p w14:paraId="304A7E8E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2025.</w:t>
            </w:r>
          </w:p>
        </w:tc>
        <w:tc>
          <w:tcPr>
            <w:tcW w:w="731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4E5C795" w14:textId="535532C2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IZVRŠENJE 3</w:t>
            </w:r>
            <w:r w:rsidR="00D4510B">
              <w:rPr>
                <w:rFonts w:cstheme="minorHAnsi"/>
                <w:color w:val="000000" w:themeColor="text1"/>
              </w:rPr>
              <w:t>1</w:t>
            </w:r>
            <w:r w:rsidRPr="008E0CBD">
              <w:rPr>
                <w:rFonts w:cstheme="minorHAnsi"/>
                <w:color w:val="000000" w:themeColor="text1"/>
              </w:rPr>
              <w:t>.</w:t>
            </w:r>
            <w:r w:rsidR="00D4510B">
              <w:rPr>
                <w:rFonts w:cstheme="minorHAnsi"/>
                <w:color w:val="000000" w:themeColor="text1"/>
              </w:rPr>
              <w:t>12</w:t>
            </w:r>
            <w:r w:rsidRPr="008E0CBD">
              <w:rPr>
                <w:rFonts w:cstheme="minorHAnsi"/>
                <w:color w:val="000000" w:themeColor="text1"/>
              </w:rPr>
              <w:t>.202</w:t>
            </w:r>
            <w:r w:rsidR="00D4510B">
              <w:rPr>
                <w:rFonts w:cstheme="minorHAnsi"/>
                <w:color w:val="000000" w:themeColor="text1"/>
              </w:rPr>
              <w:t>5</w:t>
            </w:r>
            <w:r w:rsidRPr="008E0CBD">
              <w:rPr>
                <w:rFonts w:cstheme="minorHAnsi"/>
                <w:color w:val="000000" w:themeColor="text1"/>
              </w:rPr>
              <w:t>.</w:t>
            </w:r>
          </w:p>
        </w:tc>
      </w:tr>
      <w:tr w:rsidR="00C92A6D" w:rsidRPr="008E0CBD" w14:paraId="6390C7E5" w14:textId="77777777" w:rsidTr="00C92A6D">
        <w:trPr>
          <w:trHeight w:val="819"/>
        </w:trPr>
        <w:tc>
          <w:tcPr>
            <w:tcW w:w="829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29FEEEC" w14:textId="77777777" w:rsidR="00C92A6D" w:rsidRPr="008E0CBD" w:rsidRDefault="00C92A6D" w:rsidP="00C662F5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Izvršavanje poslova iz djelokruga rada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C9DC28D" w14:textId="77777777" w:rsidR="00C92A6D" w:rsidRPr="008E0CBD" w:rsidRDefault="00C92A6D" w:rsidP="00C662F5">
            <w:pPr>
              <w:spacing w:line="256" w:lineRule="auto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Uspješnost provedenih aktivnosti kojima se osigurava funkcioniranje Javne vatrogasne postrojbe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B3D8DDD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73782DAD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47D303E" w14:textId="77777777" w:rsidR="00C92A6D" w:rsidRPr="008E0CBD" w:rsidRDefault="00C92A6D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 w:rsidRPr="008E0CBD">
              <w:rPr>
                <w:rFonts w:cstheme="minorHAnsi"/>
                <w:color w:val="000000" w:themeColor="text1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1B0B808" w14:textId="1114604D" w:rsidR="00C92A6D" w:rsidRPr="008E0CBD" w:rsidRDefault="00D4510B" w:rsidP="00C662F5">
            <w:pPr>
              <w:spacing w:line="25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</w:t>
            </w:r>
            <w:r w:rsidR="00C92A6D" w:rsidRPr="008E0CBD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>00</w:t>
            </w:r>
          </w:p>
        </w:tc>
      </w:tr>
    </w:tbl>
    <w:p w14:paraId="5DCE242B" w14:textId="77777777" w:rsidR="00504060" w:rsidRPr="00504060" w:rsidRDefault="00504060" w:rsidP="00504060">
      <w:pPr>
        <w:ind w:right="-108"/>
        <w:jc w:val="both"/>
        <w:rPr>
          <w:b/>
          <w:bCs/>
          <w:color w:val="000000" w:themeColor="text1"/>
        </w:rPr>
      </w:pPr>
    </w:p>
    <w:p w14:paraId="484E61B5" w14:textId="77777777" w:rsidR="00504060" w:rsidRPr="00504060" w:rsidRDefault="00504060" w:rsidP="00504060">
      <w:pPr>
        <w:ind w:right="-108"/>
        <w:jc w:val="both"/>
        <w:rPr>
          <w:b/>
          <w:bCs/>
          <w:color w:val="000000" w:themeColor="text1"/>
        </w:rPr>
      </w:pPr>
      <w:r w:rsidRPr="00504060">
        <w:rPr>
          <w:b/>
          <w:bCs/>
          <w:color w:val="000000" w:themeColor="text1"/>
        </w:rPr>
        <w:t>NAZIV PROGRAMA 1800 REDOVNA DJELATNOST JAVNE VATROGASNE POSTROJBE – IZNAD ZAKONSKI STANDARD</w:t>
      </w:r>
    </w:p>
    <w:p w14:paraId="02073FAA" w14:textId="77777777" w:rsidR="00504060" w:rsidRPr="00504060" w:rsidRDefault="00504060" w:rsidP="00504060">
      <w:pPr>
        <w:ind w:right="-108"/>
        <w:jc w:val="both"/>
        <w:rPr>
          <w:color w:val="000000" w:themeColor="text1"/>
        </w:rPr>
      </w:pPr>
    </w:p>
    <w:p w14:paraId="2463DD14" w14:textId="77777777" w:rsidR="00C92A6D" w:rsidRPr="008E0CBD" w:rsidRDefault="00C92A6D" w:rsidP="00C92A6D">
      <w:pPr>
        <w:ind w:firstLine="720"/>
        <w:jc w:val="both"/>
        <w:rPr>
          <w:rFonts w:cstheme="minorHAnsi"/>
          <w:color w:val="000000" w:themeColor="text1"/>
        </w:rPr>
      </w:pPr>
      <w:r w:rsidRPr="008E0CBD">
        <w:rPr>
          <w:rFonts w:cstheme="minorHAnsi"/>
          <w:color w:val="000000" w:themeColor="text1"/>
        </w:rPr>
        <w:t>Program obuhvaća sredstva Grada i sredstva proračunskog korisnika (vlastiti izvori, pomoći, donacije i prihod od prodaje nefinancijske imovine) potrebna za obavljanje redovne djelatnosti Javne vatrogasne postrojbe.</w:t>
      </w:r>
    </w:p>
    <w:p w14:paraId="2625027D" w14:textId="77777777" w:rsidR="00C92A6D" w:rsidRPr="008E0CBD" w:rsidRDefault="00C92A6D" w:rsidP="00C92A6D">
      <w:pPr>
        <w:ind w:firstLine="720"/>
        <w:jc w:val="both"/>
        <w:rPr>
          <w:rFonts w:cstheme="minorHAnsi"/>
          <w:color w:val="000000" w:themeColor="text1"/>
        </w:rPr>
      </w:pPr>
    </w:p>
    <w:p w14:paraId="74DD2E0E" w14:textId="77777777" w:rsidR="00C92A6D" w:rsidRPr="008E0CBD" w:rsidRDefault="00C92A6D" w:rsidP="00C92A6D">
      <w:pPr>
        <w:tabs>
          <w:tab w:val="left" w:pos="851"/>
        </w:tabs>
        <w:ind w:right="-108"/>
        <w:jc w:val="both"/>
        <w:rPr>
          <w:rFonts w:cstheme="minorHAnsi"/>
          <w:b/>
        </w:rPr>
      </w:pPr>
      <w:r w:rsidRPr="008E0CBD">
        <w:rPr>
          <w:rFonts w:cstheme="minorHAnsi"/>
          <w:b/>
        </w:rPr>
        <w:t>Zakonska osnova za uvođenje programa</w:t>
      </w:r>
    </w:p>
    <w:p w14:paraId="643CB536" w14:textId="77777777" w:rsidR="00C92A6D" w:rsidRPr="008E0CB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8E0CBD">
        <w:rPr>
          <w:rFonts w:cstheme="minorHAnsi"/>
          <w:color w:val="000000" w:themeColor="text1"/>
        </w:rPr>
        <w:t>Zakon o vatrogastvu (Narodne novine, broj: 125/19. i 114/22.),</w:t>
      </w:r>
    </w:p>
    <w:p w14:paraId="0800C8A4" w14:textId="77777777" w:rsidR="00C92A6D" w:rsidRPr="008E0CB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8E0CBD">
        <w:rPr>
          <w:rFonts w:cstheme="minorHAnsi"/>
          <w:color w:val="000000" w:themeColor="text1"/>
        </w:rPr>
        <w:t>Zakon o zaštiti od požara (Narodne novine, broj: 92/10. i 114/22.) i</w:t>
      </w:r>
    </w:p>
    <w:p w14:paraId="211DDDE6" w14:textId="77777777" w:rsidR="00C92A6D" w:rsidRPr="008E0CB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8E0CBD">
        <w:rPr>
          <w:rFonts w:cstheme="minorHAnsi"/>
          <w:color w:val="000000" w:themeColor="text1"/>
        </w:rPr>
        <w:t>Pravilnik o ustroju, opremanju, osposobljavanju, načinu pokretanja i djelovanja intervencijskih vatrogasnih postrojbi te naknadi troškova nastalih njihovim djelovanjem (Narodne novine, broj: 31/11.).</w:t>
      </w:r>
    </w:p>
    <w:p w14:paraId="11D67B60" w14:textId="77777777" w:rsidR="00C92A6D" w:rsidRPr="008E0CB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 w:rsidRPr="00202D82">
        <w:rPr>
          <w:rFonts w:eastAsia="Times New Roman" w:cstheme="minorHAnsi"/>
        </w:rPr>
        <w:t>Pravilnik o klasifikaciji radnih mjesta profesionalnih vatrogasaca (NN 46/2023</w:t>
      </w:r>
      <w:r>
        <w:rPr>
          <w:rFonts w:eastAsia="Times New Roman" w:cstheme="minorHAnsi"/>
        </w:rPr>
        <w:t>.).</w:t>
      </w:r>
    </w:p>
    <w:p w14:paraId="6C47DBE7" w14:textId="77777777" w:rsidR="00C92A6D" w:rsidRDefault="00C92A6D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Pravilnik o plaći radnika Javne vatrogasne postrojbe Grada Požege </w:t>
      </w:r>
    </w:p>
    <w:p w14:paraId="15760696" w14:textId="1CA24891" w:rsidR="00671B73" w:rsidRDefault="00671B73" w:rsidP="00C92A6D">
      <w:pPr>
        <w:pStyle w:val="Odlomakpopisa"/>
        <w:numPr>
          <w:ilvl w:val="0"/>
          <w:numId w:val="4"/>
        </w:numPr>
        <w:suppressAutoHyphens/>
        <w:spacing w:after="0" w:line="240" w:lineRule="auto"/>
        <w:ind w:left="681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Pravilnik o unutarnjem ustrojstvu i načinu rada Javne vatrogasne postrojbe Grada Požege KLASA: 007-04/25-01/01, URBROJ: 2177-1-26-01-25-1.</w:t>
      </w:r>
    </w:p>
    <w:p w14:paraId="75D0FCFC" w14:textId="77777777" w:rsidR="00671B73" w:rsidRDefault="00671B73" w:rsidP="00671B73">
      <w:pPr>
        <w:suppressAutoHyphens/>
        <w:jc w:val="both"/>
        <w:rPr>
          <w:rFonts w:cstheme="minorHAnsi"/>
          <w:color w:val="000000" w:themeColor="text1"/>
        </w:rPr>
      </w:pPr>
    </w:p>
    <w:p w14:paraId="0514EE84" w14:textId="77777777" w:rsidR="00671B73" w:rsidRDefault="00671B73" w:rsidP="00671B73">
      <w:pPr>
        <w:suppressAutoHyphens/>
        <w:jc w:val="both"/>
        <w:rPr>
          <w:rFonts w:cstheme="minorHAnsi"/>
          <w:color w:val="000000" w:themeColor="text1"/>
        </w:rPr>
      </w:pPr>
    </w:p>
    <w:p w14:paraId="49EC6AAB" w14:textId="77777777" w:rsidR="00671B73" w:rsidRDefault="00671B73" w:rsidP="00671B73">
      <w:pPr>
        <w:suppressAutoHyphens/>
        <w:jc w:val="both"/>
        <w:rPr>
          <w:rFonts w:cstheme="minorHAnsi"/>
          <w:color w:val="000000" w:themeColor="text1"/>
        </w:rPr>
      </w:pPr>
    </w:p>
    <w:p w14:paraId="5AC9099B" w14:textId="77777777" w:rsidR="00671B73" w:rsidRPr="00671B73" w:rsidRDefault="00671B73" w:rsidP="00671B73">
      <w:pPr>
        <w:suppressAutoHyphens/>
        <w:jc w:val="both"/>
        <w:rPr>
          <w:rFonts w:cstheme="minorHAnsi"/>
          <w:color w:val="000000" w:themeColor="text1"/>
        </w:rPr>
      </w:pPr>
    </w:p>
    <w:p w14:paraId="564C6938" w14:textId="77777777" w:rsidR="00504060" w:rsidRPr="00504060" w:rsidRDefault="00504060" w:rsidP="00504060">
      <w:pPr>
        <w:suppressAutoHyphens/>
        <w:ind w:right="-108"/>
        <w:jc w:val="both"/>
        <w:rPr>
          <w:color w:val="000000" w:themeColor="text1"/>
          <w:lang w:val="en-NZ"/>
        </w:rPr>
      </w:pPr>
    </w:p>
    <w:tbl>
      <w:tblPr>
        <w:tblStyle w:val="Reetkatablice1"/>
        <w:tblW w:w="9067" w:type="dxa"/>
        <w:tblInd w:w="0" w:type="dxa"/>
        <w:tblLook w:val="04A0" w:firstRow="1" w:lastRow="0" w:firstColumn="1" w:lastColumn="0" w:noHBand="0" w:noVBand="1"/>
      </w:tblPr>
      <w:tblGrid>
        <w:gridCol w:w="3946"/>
        <w:gridCol w:w="1719"/>
        <w:gridCol w:w="1701"/>
        <w:gridCol w:w="1701"/>
      </w:tblGrid>
      <w:tr w:rsidR="00D4510B" w:rsidRPr="008E0CBD" w14:paraId="3D1F6355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1EED" w14:textId="77777777" w:rsidR="00D4510B" w:rsidRPr="008E0CBD" w:rsidRDefault="00D4510B" w:rsidP="00C662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  <w:t>PROGRAM 1800 REDOVNA DJELATNOST JAVNE VATROGASNE POSTROJBE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60B5" w14:textId="77777777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IZVORNI PLAN 202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5</w:t>
            </w: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EE33" w14:textId="77777777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IZVRŠENJE 202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5</w:t>
            </w: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EA53" w14:textId="77777777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INDEKS</w:t>
            </w:r>
          </w:p>
          <w:p w14:paraId="48C15D26" w14:textId="77777777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i/>
                <w:color w:val="000000" w:themeColor="text1"/>
              </w:rPr>
              <w:t>izvorni plan/ izvršenje</w:t>
            </w:r>
          </w:p>
        </w:tc>
      </w:tr>
      <w:tr w:rsidR="00D4510B" w:rsidRPr="008E0CBD" w14:paraId="3F3E2150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27643" w14:textId="77777777" w:rsidR="00D4510B" w:rsidRPr="008E0CBD" w:rsidRDefault="00D4510B" w:rsidP="00C662F5">
            <w:pPr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color w:val="000000" w:themeColor="text1"/>
                <w:lang w:eastAsia="hr-HR"/>
              </w:rPr>
              <w:t>Aktivnost A180001 OSNOVNA AKTIVNOST JAVNE VATROGASNE POSTROJBE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E5FF" w14:textId="5BBA9CB6" w:rsidR="00D4510B" w:rsidRPr="008E0CBD" w:rsidRDefault="00427B02" w:rsidP="00C662F5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642</w:t>
            </w:r>
            <w:r w:rsidR="00D4510B" w:rsidRPr="008E0CBD"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153</w:t>
            </w:r>
            <w:r w:rsidR="00D4510B" w:rsidRPr="008E0CBD"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32A5" w14:textId="002DF857" w:rsidR="00D4510B" w:rsidRPr="008E0CBD" w:rsidRDefault="00427B02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615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591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909A" w14:textId="32F3299C" w:rsidR="00D4510B" w:rsidRPr="008E0CBD" w:rsidRDefault="00427B02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95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86</w:t>
            </w:r>
          </w:p>
        </w:tc>
      </w:tr>
      <w:tr w:rsidR="00D4510B" w:rsidRPr="008E0CBD" w14:paraId="2F2D73A4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CAD6" w14:textId="77777777" w:rsidR="00D4510B" w:rsidRPr="008E0CBD" w:rsidRDefault="00D4510B" w:rsidP="00C662F5">
            <w:pPr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color w:val="000000" w:themeColor="text1"/>
                <w:lang w:eastAsia="hr-HR"/>
              </w:rPr>
              <w:t>Kapitalni projekt K180001 NABAVA OPREME ZA JAVNU VATROGASNU POSTROJBU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463D" w14:textId="77777777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14.614,00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6B7A" w14:textId="5613F37A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7.678,20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EE93" w14:textId="72B451AD" w:rsidR="00D4510B" w:rsidRPr="008E0CBD" w:rsidRDefault="00D4510B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52,5</w:t>
            </w:r>
            <w:r w:rsidR="00427B02">
              <w:rPr>
                <w:rFonts w:asciiTheme="minorHAnsi" w:hAnsiTheme="minorHAnsi" w:cstheme="minorHAnsi"/>
                <w:color w:val="000000" w:themeColor="text1"/>
                <w:lang w:eastAsia="hr-HR"/>
              </w:rPr>
              <w:t>4</w:t>
            </w:r>
          </w:p>
        </w:tc>
      </w:tr>
      <w:tr w:rsidR="00D4510B" w:rsidRPr="008E0CBD" w14:paraId="79BED176" w14:textId="77777777" w:rsidTr="00C662F5">
        <w:trPr>
          <w:trHeight w:val="25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A2654" w14:textId="77777777" w:rsidR="00D4510B" w:rsidRPr="008E0CBD" w:rsidRDefault="00D4510B" w:rsidP="00C662F5">
            <w:pPr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 w:rsidRPr="008E0CBD">
              <w:rPr>
                <w:rFonts w:asciiTheme="minorHAnsi" w:hAnsiTheme="minorHAnsi" w:cstheme="minorHAnsi"/>
                <w:color w:val="000000" w:themeColor="text1"/>
                <w:lang w:eastAsia="hr-HR"/>
              </w:rPr>
              <w:t>UKUPNO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56DB" w14:textId="19717335" w:rsidR="00D4510B" w:rsidRPr="008E0CBD" w:rsidRDefault="00715F37" w:rsidP="00C662F5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656</w:t>
            </w:r>
            <w:r w:rsidR="00D4510B"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767</w:t>
            </w:r>
            <w:r w:rsidR="00D4510B">
              <w:rPr>
                <w:rFonts w:asciiTheme="minorHAnsi" w:hAnsiTheme="minorHAnsi" w:cstheme="minorHAnsi"/>
                <w:i/>
                <w:iCs/>
                <w:color w:val="000000" w:themeColor="text1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F097" w14:textId="7F5FA09B" w:rsidR="00D4510B" w:rsidRPr="008E0CBD" w:rsidRDefault="00427B02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623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269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51" w14:textId="52A1D3F9" w:rsidR="00D4510B" w:rsidRPr="008E0CBD" w:rsidRDefault="00427B02" w:rsidP="00C662F5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94</w:t>
            </w:r>
            <w:r w:rsidR="00D4510B">
              <w:rPr>
                <w:rFonts w:asciiTheme="minorHAnsi" w:hAnsiTheme="minorHAnsi" w:cstheme="minorHAnsi"/>
                <w:color w:val="000000" w:themeColor="text1"/>
                <w:lang w:eastAsia="hr-HR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lang w:eastAsia="hr-HR"/>
              </w:rPr>
              <w:t>9</w:t>
            </w:r>
            <w:r w:rsidR="00715F37">
              <w:rPr>
                <w:rFonts w:asciiTheme="minorHAnsi" w:hAnsiTheme="minorHAnsi" w:cstheme="minorHAnsi"/>
                <w:color w:val="000000" w:themeColor="text1"/>
                <w:lang w:eastAsia="hr-HR"/>
              </w:rPr>
              <w:t>0</w:t>
            </w:r>
          </w:p>
        </w:tc>
      </w:tr>
    </w:tbl>
    <w:p w14:paraId="28B73C2B" w14:textId="77777777" w:rsidR="00504060" w:rsidRPr="00504060" w:rsidRDefault="00504060" w:rsidP="00504060">
      <w:pPr>
        <w:suppressAutoHyphens/>
        <w:ind w:right="-108"/>
        <w:jc w:val="both"/>
        <w:rPr>
          <w:color w:val="000000" w:themeColor="text1"/>
          <w:lang w:val="en-NZ"/>
        </w:rPr>
      </w:pPr>
    </w:p>
    <w:p w14:paraId="188BFAFD" w14:textId="77777777" w:rsidR="00504060" w:rsidRPr="00504060" w:rsidRDefault="00504060" w:rsidP="00504060">
      <w:pPr>
        <w:ind w:right="-108"/>
        <w:jc w:val="both"/>
        <w:rPr>
          <w:rFonts w:eastAsia="Times New Roman"/>
          <w:color w:val="000000" w:themeColor="text1"/>
          <w:lang w:val="en-US" w:eastAsia="zh-CN"/>
        </w:rPr>
      </w:pPr>
    </w:p>
    <w:p w14:paraId="4D288CAF" w14:textId="77777777" w:rsidR="00504060" w:rsidRPr="00504060" w:rsidRDefault="00504060" w:rsidP="00504060">
      <w:pPr>
        <w:ind w:right="-108"/>
        <w:jc w:val="both"/>
      </w:pPr>
      <w:r w:rsidRPr="00504060">
        <w:rPr>
          <w:b/>
          <w:bCs/>
        </w:rPr>
        <w:t>Osnovna aktivnost Javne vatrogasne postrojbe</w:t>
      </w:r>
      <w:r w:rsidRPr="00504060">
        <w:t xml:space="preserve"> odnosi se na rashode za zaposlene, materijalne i financijske rashode koji su neophodni za redovno obavljanje djelatnosti, to se odnosi na redovno održavanje i servisiranje vatrogasnih vozila znatna sredstva izdvajamo za servisiranje novog navalnog vozila što smo obavezni prema ugovoru, vatrogasne opreme, nabava osobne zaštitne opreme.</w:t>
      </w:r>
    </w:p>
    <w:p w14:paraId="27A9E812" w14:textId="77777777" w:rsidR="00504060" w:rsidRPr="00504060" w:rsidRDefault="00504060" w:rsidP="00504060">
      <w:pPr>
        <w:ind w:right="-108"/>
        <w:jc w:val="both"/>
      </w:pPr>
    </w:p>
    <w:p w14:paraId="3C38D3DB" w14:textId="50D25208" w:rsidR="00504060" w:rsidRPr="00504060" w:rsidRDefault="00504060" w:rsidP="00504060">
      <w:pPr>
        <w:ind w:right="-108"/>
        <w:jc w:val="both"/>
      </w:pPr>
      <w:r w:rsidRPr="00504060">
        <w:rPr>
          <w:b/>
          <w:bCs/>
        </w:rPr>
        <w:t>Nabava opreme za Javnu vatrogasnu postrojbu</w:t>
      </w:r>
      <w:r w:rsidRPr="00504060">
        <w:t xml:space="preserve"> odnosi se na nabavu opreme za protupožarnu zaštitu kako bi se održala kvaliteta pružanja usluga. Od opreme kupljene su: </w:t>
      </w:r>
      <w:r w:rsidR="00671B73">
        <w:t>kacige za nove djelatnike, opasač, viziri, mlaznica, sjedalo sa ležištem za izolacijski aparat, oprema za nasilno otvaranje vrata, oprema za nasilno otvaranje prozora, kupljene hlače i cipele za djelatnike</w:t>
      </w:r>
      <w:r w:rsidRPr="00504060">
        <w:t>. Oprema koja se će pridonijeti još većoj sigurnosti djelatnika pri intervencijama, a time i učinkovitije izvršenje svojih zadaća.</w:t>
      </w:r>
    </w:p>
    <w:p w14:paraId="6B243FD0" w14:textId="77777777" w:rsidR="00504060" w:rsidRPr="00504060" w:rsidRDefault="00504060" w:rsidP="00504060">
      <w:pPr>
        <w:ind w:right="-108"/>
        <w:jc w:val="both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149"/>
        <w:gridCol w:w="938"/>
        <w:gridCol w:w="1133"/>
        <w:gridCol w:w="1418"/>
        <w:gridCol w:w="1548"/>
      </w:tblGrid>
      <w:tr w:rsidR="00D4510B" w:rsidRPr="007C039C" w14:paraId="062E3680" w14:textId="77777777" w:rsidTr="00C662F5">
        <w:trPr>
          <w:trHeight w:val="646"/>
        </w:trPr>
        <w:tc>
          <w:tcPr>
            <w:tcW w:w="10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31E99B2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Pokazatelj uspješnosti</w:t>
            </w:r>
          </w:p>
        </w:tc>
        <w:tc>
          <w:tcPr>
            <w:tcW w:w="1187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7FAF42A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Definicija</w:t>
            </w:r>
          </w:p>
        </w:tc>
        <w:tc>
          <w:tcPr>
            <w:tcW w:w="518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175D96F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Jedinica</w:t>
            </w:r>
          </w:p>
        </w:tc>
        <w:tc>
          <w:tcPr>
            <w:tcW w:w="626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1233990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Polazna vrijednost</w:t>
            </w:r>
          </w:p>
        </w:tc>
        <w:tc>
          <w:tcPr>
            <w:tcW w:w="783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7F6412AA" w14:textId="77777777" w:rsidR="00D4510B" w:rsidRPr="00640947" w:rsidRDefault="00D4510B" w:rsidP="00C662F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IZVORNI PLAN</w:t>
            </w:r>
          </w:p>
          <w:p w14:paraId="3D2CFD4B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5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1FDF1B4" w14:textId="1F61E8D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IZVRŠENJE 3</w:t>
            </w:r>
            <w:r w:rsidR="00715F37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="00715F37">
              <w:rPr>
                <w:rFonts w:cs="Times New Roman"/>
                <w:color w:val="000000" w:themeColor="text1"/>
                <w:sz w:val="20"/>
                <w:szCs w:val="20"/>
              </w:rPr>
              <w:t>12</w:t>
            </w: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4510B" w:rsidRPr="007C039C" w14:paraId="7886CCB5" w14:textId="77777777" w:rsidTr="00C662F5">
        <w:trPr>
          <w:trHeight w:val="535"/>
        </w:trPr>
        <w:tc>
          <w:tcPr>
            <w:tcW w:w="1031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5ED7125" w14:textId="77777777" w:rsidR="00D4510B" w:rsidRPr="00640947" w:rsidRDefault="00D4510B" w:rsidP="00C662F5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Broj intervencija na području djelovanja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711A5C17" w14:textId="77777777" w:rsidR="00D4510B" w:rsidRPr="00640947" w:rsidRDefault="00D4510B" w:rsidP="00C662F5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Odraditi sve intervencije na području grada Požege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B4BD019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67B1EBB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C56C8FE" w14:textId="77777777" w:rsidR="00D4510B" w:rsidRPr="00640947" w:rsidRDefault="00D4510B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0947">
              <w:rPr>
                <w:rFonts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9A90B" w14:textId="194239B7" w:rsidR="00D4510B" w:rsidRPr="00640947" w:rsidRDefault="00671B73" w:rsidP="00C662F5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394</w:t>
            </w:r>
          </w:p>
        </w:tc>
      </w:tr>
    </w:tbl>
    <w:p w14:paraId="343569EA" w14:textId="77777777" w:rsidR="00504060" w:rsidRPr="00504060" w:rsidRDefault="00504060" w:rsidP="00504060"/>
    <w:p w14:paraId="002D0F2D" w14:textId="77777777" w:rsidR="00504060" w:rsidRPr="00504060" w:rsidRDefault="00504060" w:rsidP="00504060">
      <w:pPr>
        <w:pStyle w:val="Bezproreda"/>
        <w:rPr>
          <w:color w:val="000000"/>
        </w:rPr>
      </w:pPr>
    </w:p>
    <w:p w14:paraId="5BABEAAB" w14:textId="77777777" w:rsidR="00504060" w:rsidRPr="00504060" w:rsidRDefault="00504060" w:rsidP="00504060">
      <w:pPr>
        <w:pStyle w:val="Bezproreda"/>
        <w:rPr>
          <w:color w:val="000000"/>
        </w:rPr>
      </w:pPr>
    </w:p>
    <w:p w14:paraId="6D567A3C" w14:textId="77777777" w:rsidR="00504060" w:rsidRPr="00504060" w:rsidRDefault="00504060" w:rsidP="00504060">
      <w:r w:rsidRPr="00504060">
        <w:t>4. IZVJEŠTAJ O ZADUŽIVANJU NA DOMAĆEM I STRANOM TRŽIŠTU NOVCA I KAPITALA</w:t>
      </w:r>
    </w:p>
    <w:p w14:paraId="299C4F67" w14:textId="77777777" w:rsidR="00504060" w:rsidRPr="00504060" w:rsidRDefault="00504060" w:rsidP="00504060">
      <w:pPr>
        <w:ind w:firstLine="357"/>
        <w:jc w:val="both"/>
        <w:rPr>
          <w:color w:val="FF0000"/>
        </w:rPr>
      </w:pPr>
    </w:p>
    <w:p w14:paraId="6C9EE2C7" w14:textId="77777777" w:rsidR="00504060" w:rsidRPr="00504060" w:rsidRDefault="00504060" w:rsidP="00504060">
      <w:pPr>
        <w:ind w:firstLine="720"/>
        <w:jc w:val="both"/>
        <w:rPr>
          <w:color w:val="FF0000"/>
        </w:rPr>
      </w:pPr>
      <w:r w:rsidRPr="00504060">
        <w:t>Javna vatrogasna postrojba Grada Požege nije se zaduživala na domaćem i stranom tržištu novca i kapitala u izvještajnom razdoblju.</w:t>
      </w:r>
    </w:p>
    <w:p w14:paraId="266EED9F" w14:textId="77777777" w:rsidR="00504060" w:rsidRPr="00504060" w:rsidRDefault="00504060" w:rsidP="00504060">
      <w:pPr>
        <w:pStyle w:val="Bezproreda"/>
        <w:rPr>
          <w:color w:val="000000"/>
        </w:rPr>
      </w:pPr>
    </w:p>
    <w:p w14:paraId="089EB406" w14:textId="77777777" w:rsidR="00504060" w:rsidRPr="00504060" w:rsidRDefault="00504060" w:rsidP="00504060">
      <w:pPr>
        <w:pStyle w:val="Bezproreda"/>
        <w:rPr>
          <w:color w:val="000000"/>
        </w:rPr>
      </w:pPr>
    </w:p>
    <w:p w14:paraId="4B6CF3B1" w14:textId="77777777" w:rsidR="00504060" w:rsidRPr="00504060" w:rsidRDefault="00504060" w:rsidP="00504060">
      <w:pPr>
        <w:pStyle w:val="Bezproreda"/>
        <w:rPr>
          <w:color w:val="000000"/>
        </w:rPr>
      </w:pPr>
    </w:p>
    <w:p w14:paraId="2DCD98E8" w14:textId="65A56762" w:rsidR="00504060" w:rsidRPr="00504060" w:rsidRDefault="00504060" w:rsidP="00504060">
      <w:pPr>
        <w:pStyle w:val="Bezproreda"/>
        <w:rPr>
          <w:color w:val="000000"/>
        </w:rPr>
      </w:pPr>
      <w:r w:rsidRPr="00504060">
        <w:rPr>
          <w:color w:val="000000"/>
        </w:rPr>
        <w:t>5. IZVJEŠTAJ O KORIŠTENJU F</w:t>
      </w:r>
      <w:r>
        <w:rPr>
          <w:color w:val="000000"/>
        </w:rPr>
        <w:t>O</w:t>
      </w:r>
      <w:r w:rsidRPr="00504060">
        <w:rPr>
          <w:color w:val="000000"/>
        </w:rPr>
        <w:t>NDOVA EUROPSKE UNIJE</w:t>
      </w:r>
    </w:p>
    <w:p w14:paraId="436FBA52" w14:textId="77777777" w:rsidR="00504060" w:rsidRPr="00504060" w:rsidRDefault="00504060" w:rsidP="00504060">
      <w:pPr>
        <w:pStyle w:val="Bezproreda"/>
        <w:rPr>
          <w:color w:val="000000"/>
        </w:rPr>
      </w:pPr>
    </w:p>
    <w:p w14:paraId="304BC4EA" w14:textId="77777777" w:rsidR="00504060" w:rsidRPr="00504060" w:rsidRDefault="00504060" w:rsidP="00504060">
      <w:pPr>
        <w:pStyle w:val="Bezproreda"/>
        <w:ind w:firstLine="708"/>
        <w:rPr>
          <w:color w:val="000000"/>
        </w:rPr>
      </w:pPr>
      <w:r w:rsidRPr="00504060">
        <w:rPr>
          <w:color w:val="000000"/>
        </w:rPr>
        <w:t>Javna vatrogasna postrojba Grada Požege nije koristila fondove  Europske unije u izvještajnom razdoblju.</w:t>
      </w:r>
    </w:p>
    <w:p w14:paraId="70EC3705" w14:textId="77777777" w:rsidR="008A236E" w:rsidRDefault="008A236E" w:rsidP="008A236E">
      <w:pPr>
        <w:pStyle w:val="Bezproreda"/>
        <w:jc w:val="both"/>
        <w:rPr>
          <w:color w:val="000000"/>
        </w:rPr>
      </w:pPr>
    </w:p>
    <w:p w14:paraId="0EAD3704" w14:textId="77777777" w:rsidR="008A236E" w:rsidRDefault="008A236E" w:rsidP="008A236E">
      <w:pPr>
        <w:pStyle w:val="Bezproreda"/>
        <w:jc w:val="both"/>
        <w:rPr>
          <w:color w:val="000000"/>
        </w:rPr>
      </w:pPr>
    </w:p>
    <w:p w14:paraId="6902FD6A" w14:textId="26244575" w:rsidR="00504060" w:rsidRPr="00504060" w:rsidRDefault="00504060" w:rsidP="008A236E">
      <w:pPr>
        <w:pStyle w:val="Bezproreda"/>
        <w:jc w:val="both"/>
        <w:rPr>
          <w:color w:val="000000"/>
        </w:rPr>
      </w:pPr>
      <w:r w:rsidRPr="00504060">
        <w:rPr>
          <w:color w:val="000000"/>
        </w:rPr>
        <w:t>6. IZVJEŠTAJ O DANIM ZAJMOVIMA I POTRAŽIVANJIMA PO DANIM ZAJMOVIMA</w:t>
      </w:r>
    </w:p>
    <w:p w14:paraId="32C0A7F8" w14:textId="77777777" w:rsidR="00504060" w:rsidRPr="00504060" w:rsidRDefault="00504060" w:rsidP="00504060">
      <w:pPr>
        <w:pStyle w:val="Bezproreda"/>
        <w:ind w:firstLine="708"/>
        <w:rPr>
          <w:color w:val="000000"/>
        </w:rPr>
      </w:pPr>
    </w:p>
    <w:p w14:paraId="23F8B47B" w14:textId="77777777" w:rsidR="00504060" w:rsidRPr="00504060" w:rsidRDefault="00504060" w:rsidP="00504060">
      <w:pPr>
        <w:pStyle w:val="Bezproreda"/>
        <w:ind w:firstLine="708"/>
        <w:rPr>
          <w:color w:val="000000"/>
        </w:rPr>
      </w:pPr>
      <w:r w:rsidRPr="00504060">
        <w:rPr>
          <w:color w:val="000000"/>
        </w:rPr>
        <w:t>Javna vatrogasna postrojba Grada Požege u izvještajnom periodu nema danih zajmova kao niti potraživanja za iste.</w:t>
      </w:r>
    </w:p>
    <w:p w14:paraId="02B84DD7" w14:textId="77777777" w:rsidR="008A236E" w:rsidRDefault="008A236E" w:rsidP="005E6255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B0C6381" w14:textId="77777777" w:rsidR="008A236E" w:rsidRDefault="008A236E" w:rsidP="00504060">
      <w:pPr>
        <w:autoSpaceDE w:val="0"/>
        <w:autoSpaceDN w:val="0"/>
        <w:adjustRightInd w:val="0"/>
        <w:ind w:firstLine="708"/>
        <w:jc w:val="both"/>
        <w:rPr>
          <w:rFonts w:cstheme="minorHAnsi"/>
        </w:rPr>
      </w:pPr>
    </w:p>
    <w:p w14:paraId="591330B0" w14:textId="1CADAF1C" w:rsidR="008A236E" w:rsidRPr="008A236E" w:rsidRDefault="008A236E" w:rsidP="008A236E">
      <w:pPr>
        <w:pStyle w:val="Bezproreda"/>
        <w:rPr>
          <w:rFonts w:cstheme="minorHAnsi"/>
          <w:color w:val="000000"/>
        </w:rPr>
      </w:pPr>
      <w:r>
        <w:rPr>
          <w:rFonts w:cstheme="minorHAnsi"/>
        </w:rPr>
        <w:t xml:space="preserve">7.IZVJEŠTAJ </w:t>
      </w:r>
      <w:r w:rsidRPr="008A236E">
        <w:rPr>
          <w:rFonts w:cstheme="minorHAnsi"/>
          <w:color w:val="000000"/>
        </w:rPr>
        <w:t>O STANJU POTRAŽIVANJA I DOSPJELIH OBVEZA TE O</w:t>
      </w:r>
      <w:r>
        <w:rPr>
          <w:rFonts w:cstheme="minorHAnsi"/>
          <w:color w:val="000000"/>
        </w:rPr>
        <w:t xml:space="preserve"> </w:t>
      </w:r>
      <w:r w:rsidRPr="008A236E">
        <w:rPr>
          <w:rFonts w:cstheme="minorHAnsi"/>
          <w:color w:val="000000"/>
        </w:rPr>
        <w:t>STANJU POTENCIJALNIH OBVEZA PO OSNOVI SUDSKIH SPOROVA</w:t>
      </w:r>
    </w:p>
    <w:p w14:paraId="39869B9A" w14:textId="49B3DA73" w:rsidR="008A236E" w:rsidRDefault="008A236E" w:rsidP="005E6255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5620A5" w14:textId="7CB4D20F" w:rsidR="008A236E" w:rsidRPr="008A236E" w:rsidRDefault="008A236E" w:rsidP="00667320">
      <w:pPr>
        <w:ind w:firstLine="708"/>
        <w:jc w:val="both"/>
        <w:rPr>
          <w:rFonts w:eastAsia="Times New Roman" w:cstheme="minorHAnsi"/>
          <w:iCs/>
        </w:rPr>
      </w:pPr>
      <w:r w:rsidRPr="008A236E">
        <w:rPr>
          <w:rFonts w:eastAsia="Times New Roman" w:cstheme="minorHAnsi"/>
          <w:iCs/>
        </w:rPr>
        <w:t>Nenaplaćena potraživanja Javne vatrogasne postrojbe Grada Požege na 31.12.202</w:t>
      </w:r>
      <w:r w:rsidR="00715F37">
        <w:rPr>
          <w:rFonts w:eastAsia="Times New Roman" w:cstheme="minorHAnsi"/>
          <w:iCs/>
        </w:rPr>
        <w:t>5</w:t>
      </w:r>
      <w:r w:rsidRPr="008A236E">
        <w:rPr>
          <w:rFonts w:eastAsia="Times New Roman" w:cstheme="minorHAnsi"/>
          <w:iCs/>
        </w:rPr>
        <w:t xml:space="preserve">. godine iznose ukupno </w:t>
      </w:r>
      <w:r w:rsidR="00033248">
        <w:rPr>
          <w:rFonts w:eastAsia="Times New Roman" w:cstheme="minorHAnsi"/>
          <w:iCs/>
        </w:rPr>
        <w:t>1</w:t>
      </w:r>
      <w:r w:rsidRPr="008A236E">
        <w:rPr>
          <w:rFonts w:eastAsia="Times New Roman" w:cstheme="minorHAnsi"/>
          <w:iCs/>
        </w:rPr>
        <w:t>.</w:t>
      </w:r>
      <w:r w:rsidR="00033248">
        <w:rPr>
          <w:rFonts w:eastAsia="Times New Roman" w:cstheme="minorHAnsi"/>
          <w:iCs/>
        </w:rPr>
        <w:t>460</w:t>
      </w:r>
      <w:r w:rsidRPr="008A236E">
        <w:rPr>
          <w:rFonts w:eastAsia="Times New Roman" w:cstheme="minorHAnsi"/>
          <w:iCs/>
        </w:rPr>
        <w:t>,</w:t>
      </w:r>
      <w:r w:rsidR="00033248">
        <w:rPr>
          <w:rFonts w:eastAsia="Times New Roman" w:cstheme="minorHAnsi"/>
          <w:iCs/>
        </w:rPr>
        <w:t>91</w:t>
      </w:r>
      <w:r w:rsidRPr="008A236E">
        <w:rPr>
          <w:rFonts w:eastAsia="Times New Roman" w:cstheme="minorHAnsi"/>
          <w:iCs/>
        </w:rPr>
        <w:t xml:space="preserve"> </w:t>
      </w:r>
      <w:r w:rsidR="00033248">
        <w:rPr>
          <w:rFonts w:eastAsia="Times New Roman" w:cstheme="minorHAnsi"/>
          <w:iCs/>
        </w:rPr>
        <w:t>€</w:t>
      </w:r>
      <w:r w:rsidRPr="008A236E">
        <w:rPr>
          <w:rFonts w:eastAsia="Times New Roman" w:cstheme="minorHAnsi"/>
          <w:iCs/>
        </w:rPr>
        <w:t>.</w:t>
      </w:r>
    </w:p>
    <w:p w14:paraId="402F4683" w14:textId="77777777" w:rsidR="008A236E" w:rsidRPr="008A236E" w:rsidRDefault="008A236E" w:rsidP="008A236E">
      <w:pPr>
        <w:jc w:val="both"/>
        <w:rPr>
          <w:rFonts w:eastAsia="Times New Roman" w:cstheme="minorHAnsi"/>
          <w:iCs/>
        </w:rPr>
      </w:pPr>
    </w:p>
    <w:tbl>
      <w:tblPr>
        <w:tblStyle w:val="Reetkatablice"/>
        <w:tblW w:w="9014" w:type="dxa"/>
        <w:jc w:val="center"/>
        <w:tblLook w:val="04A0" w:firstRow="1" w:lastRow="0" w:firstColumn="1" w:lastColumn="0" w:noHBand="0" w:noVBand="1"/>
      </w:tblPr>
      <w:tblGrid>
        <w:gridCol w:w="4542"/>
        <w:gridCol w:w="4472"/>
      </w:tblGrid>
      <w:tr w:rsidR="008A236E" w:rsidRPr="008A236E" w14:paraId="3DEBD146" w14:textId="77777777" w:rsidTr="004F60E2">
        <w:trPr>
          <w:trHeight w:val="284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F0FE" w14:textId="77777777" w:rsidR="008A236E" w:rsidRPr="008A236E" w:rsidRDefault="008A236E" w:rsidP="00792ABE">
            <w:pPr>
              <w:jc w:val="center"/>
              <w:rPr>
                <w:rFonts w:cstheme="minorHAnsi"/>
                <w:color w:val="000000" w:themeColor="text1"/>
              </w:rPr>
            </w:pPr>
            <w:r w:rsidRPr="008A236E">
              <w:rPr>
                <w:rFonts w:cstheme="minorHAnsi"/>
                <w:color w:val="000000" w:themeColor="text1"/>
              </w:rPr>
              <w:t>NAZIV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4592" w14:textId="062F54E4" w:rsidR="008A236E" w:rsidRPr="008A236E" w:rsidRDefault="008A236E" w:rsidP="00792ABE">
            <w:pPr>
              <w:jc w:val="center"/>
              <w:rPr>
                <w:rFonts w:cstheme="minorHAnsi"/>
                <w:color w:val="000000" w:themeColor="text1"/>
              </w:rPr>
            </w:pPr>
            <w:r w:rsidRPr="008A236E">
              <w:rPr>
                <w:rFonts w:cstheme="minorHAnsi"/>
                <w:color w:val="000000" w:themeColor="text1"/>
              </w:rPr>
              <w:t>Stanje nenaplaćenih potraživanja na 31.12.202</w:t>
            </w:r>
            <w:r w:rsidR="00033248">
              <w:rPr>
                <w:rFonts w:cstheme="minorHAnsi"/>
                <w:color w:val="000000" w:themeColor="text1"/>
              </w:rPr>
              <w:t>5</w:t>
            </w:r>
            <w:r w:rsidRPr="008A236E">
              <w:rPr>
                <w:rFonts w:cstheme="minorHAnsi"/>
                <w:color w:val="000000" w:themeColor="text1"/>
              </w:rPr>
              <w:t>.</w:t>
            </w:r>
          </w:p>
        </w:tc>
      </w:tr>
      <w:tr w:rsidR="008A236E" w:rsidRPr="008A236E" w14:paraId="46F98D98" w14:textId="77777777" w:rsidTr="004F60E2">
        <w:trPr>
          <w:trHeight w:val="284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3F1A" w14:textId="77777777" w:rsidR="008A236E" w:rsidRPr="008A236E" w:rsidRDefault="008A236E" w:rsidP="00792ABE">
            <w:pPr>
              <w:jc w:val="both"/>
              <w:rPr>
                <w:rFonts w:cstheme="minorHAnsi"/>
                <w:color w:val="000000" w:themeColor="text1"/>
              </w:rPr>
            </w:pPr>
            <w:r w:rsidRPr="008A236E">
              <w:rPr>
                <w:rFonts w:cstheme="minorHAnsi"/>
                <w:color w:val="000000" w:themeColor="text1"/>
              </w:rPr>
              <w:t>Potraživanja za prihode od prodaje proizvoda i robe te pruženih usluga i za povrat po protestiranim jamstvima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5AA" w14:textId="29ACF41E" w:rsidR="008A236E" w:rsidRPr="008A236E" w:rsidRDefault="00033248" w:rsidP="004F60E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8A236E" w:rsidRPr="008A236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460</w:t>
            </w:r>
            <w:r w:rsidR="008A236E" w:rsidRPr="008A236E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>91</w:t>
            </w:r>
          </w:p>
        </w:tc>
      </w:tr>
      <w:tr w:rsidR="008A236E" w:rsidRPr="008A236E" w14:paraId="233BCC7E" w14:textId="77777777" w:rsidTr="004F60E2">
        <w:trPr>
          <w:trHeight w:val="284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DAF4" w14:textId="77777777" w:rsidR="008A236E" w:rsidRPr="008A236E" w:rsidRDefault="008A236E" w:rsidP="00792ABE">
            <w:pPr>
              <w:jc w:val="both"/>
              <w:rPr>
                <w:rFonts w:cstheme="minorHAnsi"/>
                <w:color w:val="000000" w:themeColor="text1"/>
              </w:rPr>
            </w:pPr>
            <w:r w:rsidRPr="008A236E">
              <w:rPr>
                <w:rFonts w:cstheme="minorHAnsi"/>
                <w:color w:val="000000" w:themeColor="text1"/>
              </w:rPr>
              <w:t>UKUPNO: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C191" w14:textId="7CCEF4FB" w:rsidR="008A236E" w:rsidRPr="008A236E" w:rsidRDefault="00033248" w:rsidP="004F60E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8A236E" w:rsidRPr="008A236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460</w:t>
            </w:r>
            <w:r w:rsidR="008A236E" w:rsidRPr="008A236E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>91</w:t>
            </w:r>
          </w:p>
        </w:tc>
      </w:tr>
    </w:tbl>
    <w:p w14:paraId="4820B824" w14:textId="77777777" w:rsidR="008A236E" w:rsidRPr="008A236E" w:rsidRDefault="008A236E" w:rsidP="008A236E">
      <w:pPr>
        <w:jc w:val="both"/>
        <w:rPr>
          <w:rFonts w:eastAsia="Times New Roman" w:cstheme="minorHAnsi"/>
          <w:iCs/>
        </w:rPr>
      </w:pPr>
    </w:p>
    <w:p w14:paraId="2A452A07" w14:textId="7F1A71C4" w:rsidR="008A236E" w:rsidRPr="008A236E" w:rsidRDefault="008A236E" w:rsidP="00667320">
      <w:pPr>
        <w:ind w:firstLine="708"/>
        <w:jc w:val="both"/>
        <w:rPr>
          <w:rFonts w:eastAsia="Times New Roman" w:cstheme="minorHAnsi"/>
          <w:iCs/>
        </w:rPr>
      </w:pPr>
      <w:r w:rsidRPr="008A236E">
        <w:rPr>
          <w:rFonts w:eastAsia="Times New Roman" w:cstheme="minorHAnsi"/>
          <w:iCs/>
        </w:rPr>
        <w:t>Nedospjele obveze Javne vatrogasne postrojbe Grada Požege na dan 31.12.202</w:t>
      </w:r>
      <w:r w:rsidR="00033248">
        <w:rPr>
          <w:rFonts w:eastAsia="Times New Roman" w:cstheme="minorHAnsi"/>
          <w:iCs/>
        </w:rPr>
        <w:t>5</w:t>
      </w:r>
      <w:r w:rsidRPr="008A236E">
        <w:rPr>
          <w:rFonts w:eastAsia="Times New Roman" w:cstheme="minorHAnsi"/>
          <w:iCs/>
        </w:rPr>
        <w:t xml:space="preserve">. godine iznose ukupno </w:t>
      </w:r>
      <w:r w:rsidR="00033248">
        <w:rPr>
          <w:rFonts w:eastAsia="Times New Roman" w:cstheme="minorHAnsi"/>
          <w:iCs/>
        </w:rPr>
        <w:t>89</w:t>
      </w:r>
      <w:r w:rsidRPr="008A236E">
        <w:rPr>
          <w:rFonts w:eastAsia="Times New Roman" w:cstheme="minorHAnsi"/>
          <w:iCs/>
        </w:rPr>
        <w:t>.</w:t>
      </w:r>
      <w:r w:rsidR="00033248">
        <w:rPr>
          <w:rFonts w:eastAsia="Times New Roman" w:cstheme="minorHAnsi"/>
          <w:iCs/>
        </w:rPr>
        <w:t>253</w:t>
      </w:r>
      <w:r w:rsidRPr="008A236E">
        <w:rPr>
          <w:rFonts w:eastAsia="Times New Roman" w:cstheme="minorHAnsi"/>
          <w:iCs/>
        </w:rPr>
        <w:t>,</w:t>
      </w:r>
      <w:r w:rsidR="00033248">
        <w:rPr>
          <w:rFonts w:eastAsia="Times New Roman" w:cstheme="minorHAnsi"/>
          <w:iCs/>
        </w:rPr>
        <w:t>61</w:t>
      </w:r>
      <w:r w:rsidRPr="008A236E">
        <w:rPr>
          <w:rFonts w:eastAsia="Times New Roman" w:cstheme="minorHAnsi"/>
          <w:iCs/>
        </w:rPr>
        <w:t xml:space="preserve"> </w:t>
      </w:r>
      <w:r w:rsidR="00033248">
        <w:rPr>
          <w:rFonts w:eastAsia="Times New Roman" w:cstheme="minorHAnsi"/>
          <w:iCs/>
        </w:rPr>
        <w:t>€, a sastoje se</w:t>
      </w:r>
      <w:r w:rsidRPr="008A236E">
        <w:rPr>
          <w:rFonts w:eastAsia="Times New Roman" w:cstheme="minorHAnsi"/>
          <w:iCs/>
        </w:rPr>
        <w:t xml:space="preserve"> od plaće za prosinac 202</w:t>
      </w:r>
      <w:r w:rsidR="00BF2646">
        <w:rPr>
          <w:rFonts w:eastAsia="Times New Roman" w:cstheme="minorHAnsi"/>
          <w:iCs/>
        </w:rPr>
        <w:t>5</w:t>
      </w:r>
      <w:r w:rsidRPr="008A236E">
        <w:rPr>
          <w:rFonts w:eastAsia="Times New Roman" w:cstheme="minorHAnsi"/>
          <w:iCs/>
        </w:rPr>
        <w:t>. godine te ulaznih računa</w:t>
      </w:r>
      <w:r w:rsidR="00BF2646">
        <w:rPr>
          <w:rFonts w:eastAsia="Times New Roman" w:cstheme="minorHAnsi"/>
          <w:iCs/>
        </w:rPr>
        <w:t xml:space="preserve"> koji nisu još plaćeni.</w:t>
      </w:r>
    </w:p>
    <w:p w14:paraId="3A6A0611" w14:textId="77777777" w:rsidR="008A236E" w:rsidRPr="008A236E" w:rsidRDefault="008A236E" w:rsidP="008A236E">
      <w:pPr>
        <w:jc w:val="both"/>
        <w:rPr>
          <w:rFonts w:eastAsia="Times New Roman" w:cstheme="minorHAnsi"/>
          <w:iCs/>
        </w:rPr>
      </w:pPr>
    </w:p>
    <w:p w14:paraId="10778482" w14:textId="77777777" w:rsidR="008A236E" w:rsidRPr="008A236E" w:rsidRDefault="008A236E" w:rsidP="008A236E">
      <w:pPr>
        <w:jc w:val="both"/>
        <w:rPr>
          <w:rFonts w:eastAsia="Times New Roman" w:cstheme="minorHAnsi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236E" w:rsidRPr="008A236E" w14:paraId="00CAD314" w14:textId="77777777" w:rsidTr="00792ABE">
        <w:tc>
          <w:tcPr>
            <w:tcW w:w="2265" w:type="dxa"/>
          </w:tcPr>
          <w:p w14:paraId="542329E5" w14:textId="77777777" w:rsidR="008A236E" w:rsidRPr="008A236E" w:rsidRDefault="008A236E" w:rsidP="00792ABE">
            <w:pPr>
              <w:jc w:val="center"/>
              <w:rPr>
                <w:rFonts w:eastAsia="Times New Roman" w:cstheme="minorHAnsi"/>
                <w:iCs/>
              </w:rPr>
            </w:pPr>
            <w:r w:rsidRPr="008A236E">
              <w:rPr>
                <w:rFonts w:eastAsia="Times New Roman" w:cstheme="minorHAnsi"/>
                <w:iCs/>
              </w:rPr>
              <w:t>OBVEZE</w:t>
            </w:r>
          </w:p>
        </w:tc>
        <w:tc>
          <w:tcPr>
            <w:tcW w:w="2265" w:type="dxa"/>
          </w:tcPr>
          <w:p w14:paraId="640B18A5" w14:textId="77777777" w:rsidR="008A236E" w:rsidRPr="008A236E" w:rsidRDefault="008A236E" w:rsidP="00792ABE">
            <w:pPr>
              <w:jc w:val="center"/>
              <w:rPr>
                <w:rFonts w:eastAsia="Times New Roman" w:cstheme="minorHAnsi"/>
                <w:iCs/>
              </w:rPr>
            </w:pPr>
            <w:r w:rsidRPr="008A236E">
              <w:rPr>
                <w:rFonts w:eastAsia="Times New Roman" w:cstheme="minorHAnsi"/>
                <w:iCs/>
              </w:rPr>
              <w:t>DOSPJELE</w:t>
            </w:r>
          </w:p>
        </w:tc>
        <w:tc>
          <w:tcPr>
            <w:tcW w:w="2266" w:type="dxa"/>
          </w:tcPr>
          <w:p w14:paraId="18BD65B5" w14:textId="77777777" w:rsidR="008A236E" w:rsidRPr="008A236E" w:rsidRDefault="008A236E" w:rsidP="00792ABE">
            <w:pPr>
              <w:jc w:val="center"/>
              <w:rPr>
                <w:rFonts w:eastAsia="Times New Roman" w:cstheme="minorHAnsi"/>
                <w:iCs/>
              </w:rPr>
            </w:pPr>
            <w:r w:rsidRPr="008A236E">
              <w:rPr>
                <w:rFonts w:eastAsia="Times New Roman" w:cstheme="minorHAnsi"/>
                <w:iCs/>
              </w:rPr>
              <w:t>NEDOSPJELE</w:t>
            </w:r>
          </w:p>
        </w:tc>
        <w:tc>
          <w:tcPr>
            <w:tcW w:w="2266" w:type="dxa"/>
          </w:tcPr>
          <w:p w14:paraId="34F39C95" w14:textId="77777777" w:rsidR="008A236E" w:rsidRPr="008A236E" w:rsidRDefault="008A236E" w:rsidP="00792ABE">
            <w:pPr>
              <w:jc w:val="center"/>
              <w:rPr>
                <w:rFonts w:eastAsia="Times New Roman" w:cstheme="minorHAnsi"/>
                <w:iCs/>
              </w:rPr>
            </w:pPr>
            <w:r w:rsidRPr="008A236E">
              <w:rPr>
                <w:rFonts w:eastAsia="Times New Roman" w:cstheme="minorHAnsi"/>
                <w:iCs/>
              </w:rPr>
              <w:t>UKUPNO</w:t>
            </w:r>
          </w:p>
        </w:tc>
      </w:tr>
      <w:tr w:rsidR="008A236E" w:rsidRPr="008A236E" w14:paraId="47227E77" w14:textId="77777777" w:rsidTr="00792ABE">
        <w:tc>
          <w:tcPr>
            <w:tcW w:w="2265" w:type="dxa"/>
            <w:vAlign w:val="center"/>
          </w:tcPr>
          <w:p w14:paraId="00105CAB" w14:textId="77777777" w:rsidR="008A236E" w:rsidRPr="008A236E" w:rsidRDefault="008A236E" w:rsidP="00BF2646">
            <w:pPr>
              <w:rPr>
                <w:rFonts w:eastAsia="Times New Roman" w:cstheme="minorHAnsi"/>
                <w:iCs/>
              </w:rPr>
            </w:pPr>
            <w:r w:rsidRPr="008A236E">
              <w:rPr>
                <w:rFonts w:eastAsia="Times New Roman" w:cstheme="minorHAnsi"/>
                <w:iCs/>
              </w:rPr>
              <w:t xml:space="preserve">Obveze na kraju razdoblja </w:t>
            </w:r>
          </w:p>
        </w:tc>
        <w:tc>
          <w:tcPr>
            <w:tcW w:w="2265" w:type="dxa"/>
            <w:vAlign w:val="center"/>
          </w:tcPr>
          <w:p w14:paraId="0EBFBAA8" w14:textId="0BECC685" w:rsidR="008A236E" w:rsidRPr="008A236E" w:rsidRDefault="00BF2646" w:rsidP="004F60E2">
            <w:pPr>
              <w:jc w:val="center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1.449</w:t>
            </w:r>
            <w:r w:rsidR="008A236E" w:rsidRPr="008A236E">
              <w:rPr>
                <w:rFonts w:eastAsia="Times New Roman" w:cstheme="minorHAnsi"/>
                <w:iCs/>
              </w:rPr>
              <w:t>,</w:t>
            </w:r>
            <w:r>
              <w:rPr>
                <w:rFonts w:eastAsia="Times New Roman" w:cstheme="minorHAnsi"/>
                <w:iCs/>
              </w:rPr>
              <w:t>66</w:t>
            </w:r>
          </w:p>
        </w:tc>
        <w:tc>
          <w:tcPr>
            <w:tcW w:w="2266" w:type="dxa"/>
            <w:vAlign w:val="center"/>
          </w:tcPr>
          <w:p w14:paraId="6C687649" w14:textId="170CDB46" w:rsidR="008A236E" w:rsidRPr="008A236E" w:rsidRDefault="00BF2646" w:rsidP="004F60E2">
            <w:pPr>
              <w:jc w:val="center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8</w:t>
            </w:r>
            <w:r w:rsidR="008A236E" w:rsidRPr="008A236E">
              <w:rPr>
                <w:rFonts w:eastAsia="Times New Roman" w:cstheme="minorHAnsi"/>
                <w:iCs/>
              </w:rPr>
              <w:t>9.2</w:t>
            </w:r>
            <w:r>
              <w:rPr>
                <w:rFonts w:eastAsia="Times New Roman" w:cstheme="minorHAnsi"/>
                <w:iCs/>
              </w:rPr>
              <w:t>53</w:t>
            </w:r>
            <w:r w:rsidR="008A236E" w:rsidRPr="008A236E">
              <w:rPr>
                <w:rFonts w:eastAsia="Times New Roman" w:cstheme="minorHAnsi"/>
                <w:iCs/>
              </w:rPr>
              <w:t>,</w:t>
            </w:r>
            <w:r>
              <w:rPr>
                <w:rFonts w:eastAsia="Times New Roman" w:cstheme="minorHAnsi"/>
                <w:iCs/>
              </w:rPr>
              <w:t>61</w:t>
            </w:r>
          </w:p>
        </w:tc>
        <w:tc>
          <w:tcPr>
            <w:tcW w:w="2266" w:type="dxa"/>
            <w:vAlign w:val="center"/>
          </w:tcPr>
          <w:p w14:paraId="7E8ECB84" w14:textId="64CD95DA" w:rsidR="008A236E" w:rsidRPr="008A236E" w:rsidRDefault="00BF2646" w:rsidP="004F60E2">
            <w:pPr>
              <w:jc w:val="center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90</w:t>
            </w:r>
            <w:r w:rsidR="008A236E" w:rsidRPr="008A236E">
              <w:rPr>
                <w:rFonts w:eastAsia="Times New Roman" w:cstheme="minorHAnsi"/>
                <w:iCs/>
              </w:rPr>
              <w:t>.</w:t>
            </w:r>
            <w:r>
              <w:rPr>
                <w:rFonts w:eastAsia="Times New Roman" w:cstheme="minorHAnsi"/>
                <w:iCs/>
              </w:rPr>
              <w:t>703</w:t>
            </w:r>
            <w:r w:rsidR="008A236E" w:rsidRPr="008A236E">
              <w:rPr>
                <w:rFonts w:eastAsia="Times New Roman" w:cstheme="minorHAnsi"/>
                <w:iCs/>
              </w:rPr>
              <w:t>,</w:t>
            </w:r>
            <w:r>
              <w:rPr>
                <w:rFonts w:eastAsia="Times New Roman" w:cstheme="minorHAnsi"/>
                <w:iCs/>
              </w:rPr>
              <w:t>27</w:t>
            </w:r>
          </w:p>
        </w:tc>
      </w:tr>
    </w:tbl>
    <w:p w14:paraId="115A6A48" w14:textId="77777777" w:rsidR="008A236E" w:rsidRPr="008A236E" w:rsidRDefault="008A236E" w:rsidP="008A236E">
      <w:pPr>
        <w:jc w:val="both"/>
        <w:rPr>
          <w:rFonts w:eastAsia="Times New Roman" w:cstheme="minorHAnsi"/>
          <w:iCs/>
        </w:rPr>
      </w:pPr>
    </w:p>
    <w:p w14:paraId="54AC17D5" w14:textId="49C0AD5E" w:rsidR="008A236E" w:rsidRPr="008A236E" w:rsidRDefault="008A236E" w:rsidP="008A236E">
      <w:pPr>
        <w:ind w:firstLine="708"/>
        <w:jc w:val="both"/>
        <w:rPr>
          <w:rFonts w:eastAsia="Times New Roman" w:cstheme="minorHAnsi"/>
          <w:iCs/>
        </w:rPr>
      </w:pPr>
      <w:r w:rsidRPr="008A236E">
        <w:rPr>
          <w:rFonts w:eastAsia="Times New Roman" w:cstheme="minorHAnsi"/>
          <w:iCs/>
        </w:rPr>
        <w:t xml:space="preserve">Javna vatrogasna postrojba Grada Požege ima </w:t>
      </w:r>
      <w:r w:rsidRPr="008A236E">
        <w:rPr>
          <w:rFonts w:cstheme="minorHAnsi"/>
          <w:color w:val="000000"/>
        </w:rPr>
        <w:t xml:space="preserve">sudski spor koji se vodi od jedanaestog mjeseca 2019. godine, potencijalne obveze po osnovi sudskog spora 5.972,53 </w:t>
      </w:r>
      <w:r w:rsidR="00D4510B">
        <w:rPr>
          <w:rFonts w:cstheme="minorHAnsi"/>
          <w:color w:val="000000"/>
        </w:rPr>
        <w:t>€</w:t>
      </w:r>
      <w:r w:rsidRPr="008A236E">
        <w:rPr>
          <w:rFonts w:cstheme="minorHAnsi"/>
          <w:color w:val="000000"/>
        </w:rPr>
        <w:t>.</w:t>
      </w:r>
    </w:p>
    <w:p w14:paraId="691B31C0" w14:textId="77777777" w:rsidR="008A236E" w:rsidRPr="008A236E" w:rsidRDefault="008A236E" w:rsidP="008A236E">
      <w:pPr>
        <w:pStyle w:val="Bezproreda"/>
        <w:ind w:firstLine="708"/>
        <w:rPr>
          <w:rFonts w:cstheme="minorHAnsi"/>
          <w:color w:val="000000"/>
        </w:rPr>
      </w:pPr>
    </w:p>
    <w:p w14:paraId="535077C1" w14:textId="77777777" w:rsidR="008A236E" w:rsidRPr="008A236E" w:rsidRDefault="008A236E" w:rsidP="008A236E">
      <w:pPr>
        <w:pStyle w:val="Bezproreda"/>
        <w:rPr>
          <w:rFonts w:cstheme="minorHAnsi"/>
          <w:color w:val="000000"/>
        </w:rPr>
      </w:pPr>
    </w:p>
    <w:p w14:paraId="510EFB42" w14:textId="77777777" w:rsidR="008A236E" w:rsidRPr="008A236E" w:rsidRDefault="008A236E" w:rsidP="008A236E">
      <w:pPr>
        <w:pStyle w:val="Bezproreda"/>
        <w:rPr>
          <w:rFonts w:cstheme="minorHAnsi"/>
          <w:color w:val="000000"/>
        </w:rPr>
      </w:pPr>
    </w:p>
    <w:p w14:paraId="004EFA21" w14:textId="77777777" w:rsidR="008A236E" w:rsidRPr="008A236E" w:rsidRDefault="008A236E" w:rsidP="00504060">
      <w:pPr>
        <w:autoSpaceDE w:val="0"/>
        <w:autoSpaceDN w:val="0"/>
        <w:adjustRightInd w:val="0"/>
        <w:ind w:firstLine="708"/>
        <w:jc w:val="both"/>
        <w:rPr>
          <w:rFonts w:cstheme="minorHAnsi"/>
        </w:rPr>
      </w:pPr>
    </w:p>
    <w:sectPr w:rsidR="008A236E" w:rsidRPr="008A2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46F4" w14:textId="77777777" w:rsidR="0080371C" w:rsidRDefault="0080371C" w:rsidP="005D7461">
      <w:r>
        <w:separator/>
      </w:r>
    </w:p>
  </w:endnote>
  <w:endnote w:type="continuationSeparator" w:id="0">
    <w:p w14:paraId="2BB716F0" w14:textId="77777777" w:rsidR="0080371C" w:rsidRDefault="0080371C" w:rsidP="005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912C" w14:textId="77777777" w:rsidR="0080371C" w:rsidRDefault="0080371C" w:rsidP="005D7461">
      <w:r>
        <w:separator/>
      </w:r>
    </w:p>
  </w:footnote>
  <w:footnote w:type="continuationSeparator" w:id="0">
    <w:p w14:paraId="495F3334" w14:textId="77777777" w:rsidR="0080371C" w:rsidRDefault="0080371C" w:rsidP="005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585" w14:textId="77777777" w:rsidR="00FF05BA" w:rsidRDefault="00FF05BA">
    <w:pPr>
      <w:pStyle w:val="Zaglavlje"/>
    </w:pPr>
  </w:p>
  <w:p w14:paraId="0F8B9041" w14:textId="77777777" w:rsidR="00FF05BA" w:rsidRDefault="00FF05BA">
    <w:pPr>
      <w:pStyle w:val="Zaglavlje"/>
    </w:pPr>
  </w:p>
  <w:p w14:paraId="226A8867" w14:textId="6C08254B" w:rsidR="005D7461" w:rsidRDefault="005D7461">
    <w:pPr>
      <w:pStyle w:val="Zaglavlje"/>
    </w:pPr>
    <w:r>
      <w:rPr>
        <w:lang w:eastAsia="hr-HR"/>
      </w:rPr>
      <w:drawing>
        <wp:inline distT="0" distB="0" distL="0" distR="0" wp14:anchorId="4CD300CC" wp14:editId="2FF4EBFA">
          <wp:extent cx="3436034" cy="1102312"/>
          <wp:effectExtent l="0" t="0" r="0" b="3175"/>
          <wp:docPr id="780423126" name="Slika 1" descr="Slika na kojoj se prikazuje tekst, logotip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126" name="Slika 1" descr="Slika na kojoj se prikazuje tekst, logotip, emblem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709" cy="113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AF0"/>
    <w:multiLevelType w:val="hybridMultilevel"/>
    <w:tmpl w:val="A3A43BA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C6A07"/>
    <w:multiLevelType w:val="hybridMultilevel"/>
    <w:tmpl w:val="4ED24FD8"/>
    <w:lvl w:ilvl="0" w:tplc="F30480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76626"/>
    <w:multiLevelType w:val="multilevel"/>
    <w:tmpl w:val="D62E24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36620EC7"/>
    <w:multiLevelType w:val="hybridMultilevel"/>
    <w:tmpl w:val="60007336"/>
    <w:lvl w:ilvl="0" w:tplc="EFD08F50">
      <w:start w:val="4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C441A88"/>
    <w:multiLevelType w:val="hybridMultilevel"/>
    <w:tmpl w:val="F34EB31A"/>
    <w:lvl w:ilvl="0" w:tplc="C00AB7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EB2C26"/>
    <w:multiLevelType w:val="hybridMultilevel"/>
    <w:tmpl w:val="43EAF92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2582"/>
    <w:multiLevelType w:val="multilevel"/>
    <w:tmpl w:val="535C53E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26B3DA2"/>
    <w:multiLevelType w:val="multilevel"/>
    <w:tmpl w:val="7862D1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03924367">
    <w:abstractNumId w:val="2"/>
  </w:num>
  <w:num w:numId="2" w16cid:durableId="3745526">
    <w:abstractNumId w:val="0"/>
  </w:num>
  <w:num w:numId="3" w16cid:durableId="876695458">
    <w:abstractNumId w:val="3"/>
  </w:num>
  <w:num w:numId="4" w16cid:durableId="1400009959">
    <w:abstractNumId w:val="4"/>
  </w:num>
  <w:num w:numId="5" w16cid:durableId="1435325726">
    <w:abstractNumId w:val="7"/>
  </w:num>
  <w:num w:numId="6" w16cid:durableId="288899091">
    <w:abstractNumId w:val="6"/>
  </w:num>
  <w:num w:numId="7" w16cid:durableId="62947274">
    <w:abstractNumId w:val="1"/>
  </w:num>
  <w:num w:numId="8" w16cid:durableId="190671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B7"/>
    <w:rsid w:val="00033248"/>
    <w:rsid w:val="00033796"/>
    <w:rsid w:val="00067609"/>
    <w:rsid w:val="00067EB7"/>
    <w:rsid w:val="00080991"/>
    <w:rsid w:val="000A2907"/>
    <w:rsid w:val="000B2B43"/>
    <w:rsid w:val="000B3B20"/>
    <w:rsid w:val="000E1112"/>
    <w:rsid w:val="00102778"/>
    <w:rsid w:val="00111B20"/>
    <w:rsid w:val="00162EFE"/>
    <w:rsid w:val="00184596"/>
    <w:rsid w:val="001954FC"/>
    <w:rsid w:val="001E0BAB"/>
    <w:rsid w:val="001E1E29"/>
    <w:rsid w:val="001E5219"/>
    <w:rsid w:val="00204DF7"/>
    <w:rsid w:val="0020532C"/>
    <w:rsid w:val="0022300A"/>
    <w:rsid w:val="00282C08"/>
    <w:rsid w:val="00287BA1"/>
    <w:rsid w:val="002E1779"/>
    <w:rsid w:val="003075C0"/>
    <w:rsid w:val="00313C8B"/>
    <w:rsid w:val="0034149F"/>
    <w:rsid w:val="00343B88"/>
    <w:rsid w:val="003559D0"/>
    <w:rsid w:val="00367F27"/>
    <w:rsid w:val="00385E34"/>
    <w:rsid w:val="0039773F"/>
    <w:rsid w:val="003A14BB"/>
    <w:rsid w:val="003C00C8"/>
    <w:rsid w:val="003C0F78"/>
    <w:rsid w:val="003D732E"/>
    <w:rsid w:val="003D77AE"/>
    <w:rsid w:val="003F40A6"/>
    <w:rsid w:val="00405D94"/>
    <w:rsid w:val="0040617F"/>
    <w:rsid w:val="004248C9"/>
    <w:rsid w:val="00427B02"/>
    <w:rsid w:val="00434637"/>
    <w:rsid w:val="00441EE5"/>
    <w:rsid w:val="00442EE0"/>
    <w:rsid w:val="004471F9"/>
    <w:rsid w:val="004661AF"/>
    <w:rsid w:val="004726A0"/>
    <w:rsid w:val="004F60E2"/>
    <w:rsid w:val="00504060"/>
    <w:rsid w:val="00515125"/>
    <w:rsid w:val="00525C59"/>
    <w:rsid w:val="00586032"/>
    <w:rsid w:val="005A04D3"/>
    <w:rsid w:val="005D3114"/>
    <w:rsid w:val="005D7461"/>
    <w:rsid w:val="005E6255"/>
    <w:rsid w:val="005F40E8"/>
    <w:rsid w:val="00600E62"/>
    <w:rsid w:val="00654F59"/>
    <w:rsid w:val="006607B5"/>
    <w:rsid w:val="00667320"/>
    <w:rsid w:val="006710ED"/>
    <w:rsid w:val="00671B73"/>
    <w:rsid w:val="006B2F4F"/>
    <w:rsid w:val="006B5302"/>
    <w:rsid w:val="006C1A55"/>
    <w:rsid w:val="006D5643"/>
    <w:rsid w:val="006D72B1"/>
    <w:rsid w:val="006F2B78"/>
    <w:rsid w:val="00715F37"/>
    <w:rsid w:val="007345B5"/>
    <w:rsid w:val="007547F6"/>
    <w:rsid w:val="007A5E83"/>
    <w:rsid w:val="007A6BC3"/>
    <w:rsid w:val="007B1643"/>
    <w:rsid w:val="007D3091"/>
    <w:rsid w:val="007F31D2"/>
    <w:rsid w:val="008025D0"/>
    <w:rsid w:val="0080371C"/>
    <w:rsid w:val="00803D0A"/>
    <w:rsid w:val="00805430"/>
    <w:rsid w:val="008224F6"/>
    <w:rsid w:val="00823755"/>
    <w:rsid w:val="00854FFC"/>
    <w:rsid w:val="00862782"/>
    <w:rsid w:val="008A236E"/>
    <w:rsid w:val="008B2F7B"/>
    <w:rsid w:val="008D0D94"/>
    <w:rsid w:val="008F1041"/>
    <w:rsid w:val="008F4569"/>
    <w:rsid w:val="008F5091"/>
    <w:rsid w:val="008F65AD"/>
    <w:rsid w:val="008F77B5"/>
    <w:rsid w:val="008F7D46"/>
    <w:rsid w:val="009009CE"/>
    <w:rsid w:val="00921377"/>
    <w:rsid w:val="009246B8"/>
    <w:rsid w:val="009254C6"/>
    <w:rsid w:val="009448C7"/>
    <w:rsid w:val="00952000"/>
    <w:rsid w:val="00964604"/>
    <w:rsid w:val="00973E06"/>
    <w:rsid w:val="009979A7"/>
    <w:rsid w:val="009A1E05"/>
    <w:rsid w:val="009F0071"/>
    <w:rsid w:val="00A16B37"/>
    <w:rsid w:val="00A414C1"/>
    <w:rsid w:val="00A914DE"/>
    <w:rsid w:val="00A97947"/>
    <w:rsid w:val="00AE3EB6"/>
    <w:rsid w:val="00B31995"/>
    <w:rsid w:val="00B32B4D"/>
    <w:rsid w:val="00B5287C"/>
    <w:rsid w:val="00B8201E"/>
    <w:rsid w:val="00BA3E30"/>
    <w:rsid w:val="00BA3EE1"/>
    <w:rsid w:val="00BF017E"/>
    <w:rsid w:val="00BF2646"/>
    <w:rsid w:val="00C206C8"/>
    <w:rsid w:val="00C92A6D"/>
    <w:rsid w:val="00CA5EC5"/>
    <w:rsid w:val="00CB6CD3"/>
    <w:rsid w:val="00CC2247"/>
    <w:rsid w:val="00CC7C6C"/>
    <w:rsid w:val="00CD579A"/>
    <w:rsid w:val="00CD57B7"/>
    <w:rsid w:val="00CD6D97"/>
    <w:rsid w:val="00CF1225"/>
    <w:rsid w:val="00D11B33"/>
    <w:rsid w:val="00D142F4"/>
    <w:rsid w:val="00D3474B"/>
    <w:rsid w:val="00D4497C"/>
    <w:rsid w:val="00D4510B"/>
    <w:rsid w:val="00D45E31"/>
    <w:rsid w:val="00D53DFC"/>
    <w:rsid w:val="00DA35E2"/>
    <w:rsid w:val="00DC0D17"/>
    <w:rsid w:val="00DC34C3"/>
    <w:rsid w:val="00DC3A19"/>
    <w:rsid w:val="00DD2291"/>
    <w:rsid w:val="00DE4679"/>
    <w:rsid w:val="00E268D4"/>
    <w:rsid w:val="00E74D57"/>
    <w:rsid w:val="00EE1111"/>
    <w:rsid w:val="00F31B32"/>
    <w:rsid w:val="00F735D3"/>
    <w:rsid w:val="00F779BA"/>
    <w:rsid w:val="00F92C1B"/>
    <w:rsid w:val="00FA0BA9"/>
    <w:rsid w:val="00FA5391"/>
    <w:rsid w:val="00FA7302"/>
    <w:rsid w:val="00FC0990"/>
    <w:rsid w:val="00FE488A"/>
    <w:rsid w:val="00FF05BA"/>
    <w:rsid w:val="00FF11BB"/>
    <w:rsid w:val="00FF2D8E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F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78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CC2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46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461"/>
    <w:rPr>
      <w:noProof/>
    </w:rPr>
  </w:style>
  <w:style w:type="paragraph" w:styleId="Bezproreda">
    <w:name w:val="No Spacing"/>
    <w:uiPriority w:val="1"/>
    <w:qFormat/>
    <w:rsid w:val="00952000"/>
    <w:rPr>
      <w:rFonts w:eastAsiaTheme="minorEastAsia"/>
      <w:lang w:eastAsia="hr-HR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504060"/>
    <w:pPr>
      <w:spacing w:after="200" w:line="276" w:lineRule="auto"/>
      <w:ind w:left="720"/>
      <w:contextualSpacing/>
    </w:pPr>
    <w:rPr>
      <w:rFonts w:eastAsiaTheme="minorEastAsia" w:cs="Times New Roman"/>
      <w:noProof w:val="0"/>
      <w:lang w:eastAsia="hr-HR"/>
    </w:rPr>
  </w:style>
  <w:style w:type="table" w:customStyle="1" w:styleId="Reetkatablice1">
    <w:name w:val="Rešetka tablice1"/>
    <w:basedOn w:val="Obinatablica"/>
    <w:uiPriority w:val="39"/>
    <w:rsid w:val="00504060"/>
    <w:rPr>
      <w:rFonts w:ascii="Calibri" w:eastAsia="Times New Roman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C2247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table" w:customStyle="1" w:styleId="Reetkatablice11">
    <w:name w:val="Rešetka tablice11"/>
    <w:basedOn w:val="Obinatablica"/>
    <w:uiPriority w:val="39"/>
    <w:rsid w:val="007547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C92A6D"/>
    <w:rPr>
      <w:rFonts w:eastAsiaTheme="minorEastAsia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F2B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F2B7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F2B7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2B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2B7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vp-pozeg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66C99FC-B075-4DB5-BED3-ECC737DC85D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3206</Words>
  <Characters>18278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JVP 01</cp:lastModifiedBy>
  <cp:revision>4</cp:revision>
  <cp:lastPrinted>2014-11-26T14:09:00Z</cp:lastPrinted>
  <dcterms:created xsi:type="dcterms:W3CDTF">2026-03-10T11:54:00Z</dcterms:created>
  <dcterms:modified xsi:type="dcterms:W3CDTF">2026-03-18T07:08:00Z</dcterms:modified>
</cp:coreProperties>
</file>